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CC0F0" w14:textId="406EF6E8" w:rsidR="003D65F3" w:rsidRDefault="002A7F6D" w:rsidP="00F732A6">
      <w:pPr>
        <w:pStyle w:val="BodyText"/>
        <w:rPr>
          <w:rFonts w:asciiTheme="majorHAnsi" w:hAnsiTheme="majorHAnsi" w:cstheme="majorHAnsi"/>
          <w:b/>
          <w:szCs w:val="22"/>
        </w:rPr>
      </w:pPr>
      <w:r w:rsidRPr="00DA4EDB">
        <w:rPr>
          <w:rFonts w:asciiTheme="majorHAnsi" w:hAnsiTheme="majorHAnsi" w:cstheme="majorHAnsi"/>
          <w:b/>
          <w:szCs w:val="22"/>
        </w:rPr>
        <w:t>Template Legal Opinion for adhering to the NPC Credit Transfer Scheme</w:t>
      </w:r>
    </w:p>
    <w:p w14:paraId="474E73CA" w14:textId="77777777" w:rsidR="001B66F4" w:rsidRPr="00DA4EDB" w:rsidRDefault="001B66F4" w:rsidP="00F732A6">
      <w:pPr>
        <w:pStyle w:val="BodyText"/>
        <w:rPr>
          <w:rFonts w:asciiTheme="majorHAnsi" w:hAnsiTheme="majorHAnsi" w:cstheme="majorHAnsi"/>
          <w:szCs w:val="22"/>
        </w:rPr>
      </w:pPr>
    </w:p>
    <w:p w14:paraId="5032A003" w14:textId="2524690E" w:rsidR="003D65F3" w:rsidRPr="00DA4EDB" w:rsidRDefault="002A7F6D" w:rsidP="003D65F3">
      <w:pPr>
        <w:pStyle w:val="BodyText"/>
        <w:spacing w:before="360"/>
        <w:contextualSpacing/>
        <w:rPr>
          <w:rFonts w:asciiTheme="majorHAnsi" w:hAnsiTheme="majorHAnsi" w:cstheme="majorHAnsi"/>
          <w:szCs w:val="22"/>
        </w:rPr>
      </w:pPr>
      <w:r w:rsidRPr="00DA4EDB">
        <w:rPr>
          <w:rFonts w:asciiTheme="majorHAnsi" w:hAnsiTheme="majorHAnsi" w:cstheme="majorHAnsi"/>
          <w:szCs w:val="22"/>
        </w:rPr>
        <w:t>OPINION OF [LEGAL/GENERAL] COUNSEL [/CHIEF COMPLIANCE OFFICER] FOR ADHERENCE TO THE</w:t>
      </w:r>
    </w:p>
    <w:p w14:paraId="4131716D" w14:textId="0DE638C4" w:rsidR="003D65F3" w:rsidRPr="00DA4EDB" w:rsidRDefault="002A7F6D" w:rsidP="003D65F3">
      <w:pPr>
        <w:pStyle w:val="BodyText"/>
        <w:contextualSpacing/>
        <w:rPr>
          <w:rFonts w:asciiTheme="majorHAnsi" w:hAnsiTheme="majorHAnsi" w:cstheme="majorHAnsi"/>
          <w:szCs w:val="22"/>
        </w:rPr>
      </w:pPr>
      <w:r w:rsidRPr="00DA4EDB">
        <w:rPr>
          <w:rFonts w:asciiTheme="majorHAnsi" w:hAnsiTheme="majorHAnsi" w:cstheme="majorHAnsi"/>
          <w:szCs w:val="22"/>
        </w:rPr>
        <w:t>NPC CREDIT TRANSFER SCHEME</w:t>
      </w:r>
    </w:p>
    <w:p w14:paraId="20D93060" w14:textId="77777777" w:rsidR="003D65F3" w:rsidRPr="00DA4EDB" w:rsidRDefault="002A7F6D" w:rsidP="003D65F3">
      <w:pPr>
        <w:pStyle w:val="BodyText"/>
        <w:rPr>
          <w:rFonts w:asciiTheme="majorHAnsi" w:hAnsiTheme="majorHAnsi" w:cstheme="majorHAnsi"/>
          <w:szCs w:val="22"/>
        </w:rPr>
      </w:pPr>
      <w:r w:rsidRPr="00DA4EDB">
        <w:rPr>
          <w:rFonts w:asciiTheme="majorHAnsi" w:hAnsiTheme="majorHAnsi" w:cstheme="majorHAnsi"/>
          <w:szCs w:val="22"/>
        </w:rPr>
        <w:t>[</w:t>
      </w:r>
      <w:r w:rsidRPr="00DA4EDB">
        <w:rPr>
          <w:rFonts w:asciiTheme="majorHAnsi" w:hAnsiTheme="majorHAnsi" w:cstheme="majorHAnsi"/>
          <w:b/>
          <w:bCs/>
          <w:szCs w:val="22"/>
        </w:rPr>
        <w:t>Date</w:t>
      </w:r>
      <w:r w:rsidRPr="00DA4EDB">
        <w:rPr>
          <w:rFonts w:asciiTheme="majorHAnsi" w:hAnsiTheme="majorHAnsi" w:cstheme="majorHAnsi"/>
          <w:szCs w:val="22"/>
        </w:rPr>
        <w:t>]</w:t>
      </w:r>
    </w:p>
    <w:p w14:paraId="47219B2E" w14:textId="77777777" w:rsidR="003D65F3" w:rsidRPr="00DA4EDB" w:rsidRDefault="002A7F6D" w:rsidP="003D65F3">
      <w:pPr>
        <w:pStyle w:val="BodyText"/>
        <w:rPr>
          <w:rFonts w:asciiTheme="majorHAnsi" w:hAnsiTheme="majorHAnsi" w:cstheme="majorHAnsi"/>
          <w:szCs w:val="22"/>
        </w:rPr>
      </w:pPr>
      <w:r w:rsidRPr="00DA4EDB">
        <w:rPr>
          <w:rFonts w:asciiTheme="majorHAnsi" w:hAnsiTheme="majorHAnsi" w:cstheme="majorHAnsi"/>
          <w:szCs w:val="22"/>
        </w:rPr>
        <w:t>To:</w:t>
      </w:r>
    </w:p>
    <w:p w14:paraId="6F4B1869" w14:textId="77777777" w:rsidR="003D65F3" w:rsidRPr="00DA4EDB" w:rsidRDefault="002A7F6D" w:rsidP="003D65F3">
      <w:pPr>
        <w:pStyle w:val="BodyText"/>
        <w:spacing w:before="0" w:after="0"/>
        <w:rPr>
          <w:rFonts w:asciiTheme="majorHAnsi" w:hAnsiTheme="majorHAnsi" w:cstheme="majorHAnsi"/>
          <w:szCs w:val="22"/>
        </w:rPr>
      </w:pPr>
      <w:r w:rsidRPr="00DA4EDB">
        <w:rPr>
          <w:rFonts w:asciiTheme="majorHAnsi" w:hAnsiTheme="majorHAnsi" w:cstheme="majorHAnsi"/>
          <w:szCs w:val="22"/>
        </w:rPr>
        <w:t>Nordic Payment Council (“</w:t>
      </w:r>
      <w:r w:rsidRPr="00DA4EDB">
        <w:rPr>
          <w:rFonts w:asciiTheme="majorHAnsi" w:hAnsiTheme="majorHAnsi" w:cstheme="majorHAnsi"/>
          <w:b/>
          <w:szCs w:val="22"/>
        </w:rPr>
        <w:t>NPC</w:t>
      </w:r>
      <w:r w:rsidRPr="00DA4EDB">
        <w:rPr>
          <w:rFonts w:asciiTheme="majorHAnsi" w:hAnsiTheme="majorHAnsi" w:cstheme="majorHAnsi"/>
          <w:szCs w:val="22"/>
        </w:rPr>
        <w:t>”)</w:t>
      </w:r>
    </w:p>
    <w:p w14:paraId="2EF47925" w14:textId="0CBB0C2A" w:rsidR="003D65F3" w:rsidRPr="002F572B" w:rsidRDefault="007B2A62" w:rsidP="003D65F3">
      <w:pPr>
        <w:pStyle w:val="BodyText"/>
        <w:spacing w:before="0" w:after="0"/>
        <w:rPr>
          <w:rFonts w:asciiTheme="majorHAnsi" w:hAnsiTheme="majorHAnsi" w:cstheme="majorHAnsi"/>
          <w:szCs w:val="22"/>
          <w:lang w:val="sv-SE"/>
        </w:rPr>
      </w:pPr>
      <w:r w:rsidRPr="002F572B">
        <w:rPr>
          <w:rFonts w:asciiTheme="majorHAnsi" w:hAnsiTheme="majorHAnsi" w:cstheme="majorHAnsi"/>
          <w:szCs w:val="22"/>
          <w:lang w:val="sv-SE"/>
        </w:rPr>
        <w:t>Blasieholmsgatan 4B</w:t>
      </w:r>
    </w:p>
    <w:p w14:paraId="1EA91F22" w14:textId="21A9C285" w:rsidR="0048643B" w:rsidRPr="002F572B" w:rsidRDefault="002A7F6D" w:rsidP="003D65F3">
      <w:pPr>
        <w:pStyle w:val="BodyText"/>
        <w:spacing w:before="0" w:after="0"/>
        <w:rPr>
          <w:rFonts w:asciiTheme="majorHAnsi" w:hAnsiTheme="majorHAnsi" w:cstheme="majorHAnsi"/>
          <w:szCs w:val="22"/>
          <w:lang w:val="sv-SE"/>
        </w:rPr>
      </w:pPr>
      <w:r w:rsidRPr="002F572B">
        <w:rPr>
          <w:rFonts w:asciiTheme="majorHAnsi" w:hAnsiTheme="majorHAnsi" w:cstheme="majorHAnsi"/>
          <w:szCs w:val="22"/>
          <w:lang w:val="sv-SE"/>
        </w:rPr>
        <w:t>Box 7603</w:t>
      </w:r>
    </w:p>
    <w:p w14:paraId="73D843CD" w14:textId="77777777" w:rsidR="003D65F3" w:rsidRPr="002F572B" w:rsidRDefault="002A7F6D" w:rsidP="003D65F3">
      <w:pPr>
        <w:pStyle w:val="BodyText"/>
        <w:spacing w:before="0" w:after="0"/>
        <w:rPr>
          <w:rFonts w:asciiTheme="majorHAnsi" w:hAnsiTheme="majorHAnsi" w:cstheme="majorHAnsi"/>
          <w:szCs w:val="22"/>
          <w:lang w:val="sv-SE"/>
        </w:rPr>
      </w:pPr>
      <w:r w:rsidRPr="002F572B">
        <w:rPr>
          <w:rFonts w:asciiTheme="majorHAnsi" w:hAnsiTheme="majorHAnsi" w:cstheme="majorHAnsi"/>
          <w:szCs w:val="22"/>
          <w:lang w:val="sv-SE"/>
        </w:rPr>
        <w:t>SE-103 94 Stockholm</w:t>
      </w:r>
    </w:p>
    <w:p w14:paraId="4AADF4A0" w14:textId="77777777" w:rsidR="003D65F3" w:rsidRPr="002F572B" w:rsidRDefault="002A7F6D" w:rsidP="003D65F3">
      <w:pPr>
        <w:pStyle w:val="BodyText"/>
        <w:spacing w:before="0" w:after="0"/>
        <w:rPr>
          <w:rFonts w:asciiTheme="majorHAnsi" w:hAnsiTheme="majorHAnsi" w:cstheme="majorHAnsi"/>
          <w:szCs w:val="22"/>
          <w:lang w:val="sv-SE"/>
        </w:rPr>
      </w:pPr>
      <w:r w:rsidRPr="002F572B">
        <w:rPr>
          <w:rFonts w:asciiTheme="majorHAnsi" w:hAnsiTheme="majorHAnsi" w:cstheme="majorHAnsi"/>
          <w:szCs w:val="22"/>
          <w:lang w:val="sv-SE"/>
        </w:rPr>
        <w:t>Sweden</w:t>
      </w:r>
    </w:p>
    <w:p w14:paraId="0E8E805C" w14:textId="2D393516" w:rsidR="003D65F3" w:rsidRPr="00583565" w:rsidRDefault="002A7F6D" w:rsidP="003D65F3">
      <w:pPr>
        <w:pStyle w:val="BodyText"/>
        <w:spacing w:before="240"/>
        <w:rPr>
          <w:rFonts w:asciiTheme="majorHAnsi" w:hAnsiTheme="majorHAnsi" w:cstheme="majorHAnsi"/>
          <w:szCs w:val="22"/>
          <w:lang w:val="en-US"/>
        </w:rPr>
      </w:pPr>
      <w:r w:rsidRPr="00583565">
        <w:rPr>
          <w:rFonts w:asciiTheme="majorHAnsi" w:hAnsiTheme="majorHAnsi" w:cstheme="majorHAnsi"/>
          <w:szCs w:val="22"/>
          <w:lang w:val="en-US"/>
        </w:rPr>
        <w:t>Dear Sirs/Madams,</w:t>
      </w:r>
    </w:p>
    <w:p w14:paraId="0BDF01EC" w14:textId="77777777" w:rsidR="003D65F3" w:rsidRPr="00DA4EDB" w:rsidRDefault="002A7F6D" w:rsidP="003D65F3">
      <w:pPr>
        <w:pStyle w:val="BodyText"/>
        <w:rPr>
          <w:rFonts w:asciiTheme="majorHAnsi" w:hAnsiTheme="majorHAnsi" w:cstheme="majorHAnsi"/>
          <w:szCs w:val="22"/>
        </w:rPr>
      </w:pPr>
      <w:r w:rsidRPr="00DA4EDB">
        <w:rPr>
          <w:rFonts w:asciiTheme="majorHAnsi" w:hAnsiTheme="majorHAnsi" w:cstheme="majorHAnsi"/>
          <w:szCs w:val="22"/>
        </w:rPr>
        <w:t>[</w:t>
      </w:r>
      <w:r w:rsidRPr="00DA4EDB">
        <w:rPr>
          <w:rFonts w:asciiTheme="majorHAnsi" w:hAnsiTheme="majorHAnsi" w:cstheme="majorHAnsi"/>
          <w:i/>
          <w:iCs/>
          <w:szCs w:val="22"/>
        </w:rPr>
        <w:t>Insert the name of entity applying for adherence</w:t>
      </w:r>
      <w:r w:rsidRPr="00DA4EDB">
        <w:rPr>
          <w:rFonts w:asciiTheme="majorHAnsi" w:hAnsiTheme="majorHAnsi" w:cstheme="majorHAnsi"/>
          <w:szCs w:val="22"/>
        </w:rPr>
        <w:t>] (the “</w:t>
      </w:r>
      <w:r w:rsidRPr="00DA4EDB">
        <w:rPr>
          <w:rFonts w:asciiTheme="majorHAnsi" w:hAnsiTheme="majorHAnsi" w:cstheme="majorHAnsi"/>
          <w:b/>
          <w:szCs w:val="22"/>
        </w:rPr>
        <w:t>Applicant</w:t>
      </w:r>
      <w:r w:rsidRPr="00DA4EDB">
        <w:rPr>
          <w:rFonts w:asciiTheme="majorHAnsi" w:hAnsiTheme="majorHAnsi" w:cstheme="majorHAnsi"/>
          <w:szCs w:val="22"/>
        </w:rPr>
        <w:t>”)</w:t>
      </w:r>
    </w:p>
    <w:p w14:paraId="0D99E518" w14:textId="71594534" w:rsidR="00E20FB4" w:rsidRDefault="003D65F3" w:rsidP="003D65F3">
      <w:pPr>
        <w:pStyle w:val="BodyText"/>
        <w:rPr>
          <w:rFonts w:asciiTheme="majorHAnsi" w:hAnsiTheme="majorHAnsi" w:cstheme="majorHAnsi"/>
          <w:szCs w:val="22"/>
        </w:rPr>
      </w:pPr>
      <w:r w:rsidRPr="00DA4EDB">
        <w:rPr>
          <w:rFonts w:asciiTheme="majorHAnsi" w:hAnsiTheme="majorHAnsi" w:cstheme="majorHAnsi"/>
          <w:szCs w:val="22"/>
        </w:rPr>
        <w:t>[[I/We] act as legal counsel to the Applicant in connection with its application to become a participant in the NPC Credit Transfer Scheme (the “</w:t>
      </w:r>
      <w:r w:rsidRPr="00DA4EDB">
        <w:rPr>
          <w:rFonts w:asciiTheme="majorHAnsi" w:hAnsiTheme="majorHAnsi" w:cstheme="majorHAnsi"/>
          <w:b/>
          <w:bCs/>
          <w:szCs w:val="22"/>
        </w:rPr>
        <w:t>Scheme</w:t>
      </w:r>
      <w:r w:rsidR="00055C6D" w:rsidRPr="00DA4EDB">
        <w:rPr>
          <w:rFonts w:asciiTheme="majorHAnsi" w:hAnsiTheme="majorHAnsi" w:cstheme="majorHAnsi"/>
          <w:szCs w:val="22"/>
        </w:rPr>
        <w:t xml:space="preserve">”).] </w:t>
      </w:r>
    </w:p>
    <w:p w14:paraId="68A9A550" w14:textId="5AD354DC" w:rsidR="00DA4EDB" w:rsidRPr="00DA4EDB" w:rsidRDefault="002A7F6D" w:rsidP="003D65F3">
      <w:pPr>
        <w:pStyle w:val="BodyText"/>
        <w:rPr>
          <w:rFonts w:asciiTheme="majorHAnsi" w:hAnsiTheme="majorHAnsi" w:cstheme="majorHAnsi"/>
          <w:b/>
          <w:bCs/>
          <w:i/>
          <w:iCs/>
          <w:szCs w:val="22"/>
        </w:rPr>
      </w:pPr>
      <w:r w:rsidRPr="00DA4EDB">
        <w:rPr>
          <w:rFonts w:asciiTheme="majorHAnsi" w:hAnsiTheme="majorHAnsi" w:cstheme="majorHAnsi"/>
          <w:b/>
          <w:bCs/>
          <w:i/>
          <w:iCs/>
          <w:szCs w:val="22"/>
        </w:rPr>
        <w:t>OR</w:t>
      </w:r>
    </w:p>
    <w:p w14:paraId="7CBFCFBA" w14:textId="08C0D01C" w:rsidR="00055C6D" w:rsidRDefault="002A7F6D" w:rsidP="003D65F3">
      <w:pPr>
        <w:pStyle w:val="BodyText"/>
        <w:rPr>
          <w:rFonts w:asciiTheme="majorHAnsi" w:hAnsiTheme="majorHAnsi" w:cstheme="majorHAnsi"/>
          <w:szCs w:val="22"/>
        </w:rPr>
      </w:pPr>
      <w:r w:rsidRPr="00DA4EDB">
        <w:rPr>
          <w:rFonts w:asciiTheme="majorHAnsi" w:hAnsiTheme="majorHAnsi" w:cstheme="majorHAnsi"/>
          <w:szCs w:val="22"/>
        </w:rPr>
        <w:t>[I am the General Counsel of the Applicant and issue this legal opinion in connection with the Applicant’s application to become a participant in the NPC Credit Transfer Scheme (the “</w:t>
      </w:r>
      <w:r w:rsidRPr="00DA4EDB">
        <w:rPr>
          <w:rFonts w:asciiTheme="majorHAnsi" w:hAnsiTheme="majorHAnsi" w:cstheme="majorHAnsi"/>
          <w:b/>
          <w:bCs/>
          <w:szCs w:val="22"/>
        </w:rPr>
        <w:t>Scheme</w:t>
      </w:r>
      <w:r w:rsidRPr="00DA4EDB">
        <w:rPr>
          <w:rFonts w:asciiTheme="majorHAnsi" w:hAnsiTheme="majorHAnsi" w:cstheme="majorHAnsi"/>
          <w:szCs w:val="22"/>
        </w:rPr>
        <w:t>”).]</w:t>
      </w:r>
    </w:p>
    <w:p w14:paraId="5D88C299" w14:textId="77777777" w:rsidR="00886B35" w:rsidRDefault="002A7F6D" w:rsidP="00886B35">
      <w:pPr>
        <w:pStyle w:val="BodyText"/>
        <w:rPr>
          <w:rFonts w:asciiTheme="majorHAnsi" w:hAnsiTheme="majorHAnsi" w:cstheme="majorHAnsi"/>
          <w:b/>
          <w:bCs/>
          <w:i/>
          <w:iCs/>
          <w:szCs w:val="22"/>
        </w:rPr>
      </w:pPr>
      <w:r w:rsidRPr="001B029F">
        <w:rPr>
          <w:rFonts w:asciiTheme="majorHAnsi" w:hAnsiTheme="majorHAnsi" w:cstheme="majorHAnsi"/>
          <w:b/>
          <w:bCs/>
          <w:i/>
          <w:iCs/>
          <w:szCs w:val="22"/>
        </w:rPr>
        <w:t>OR</w:t>
      </w:r>
    </w:p>
    <w:p w14:paraId="744D9FE6" w14:textId="76394EFE" w:rsidR="00886B35" w:rsidRPr="00DA4EDB" w:rsidRDefault="002A7F6D" w:rsidP="00886B35">
      <w:pPr>
        <w:pStyle w:val="BodyText"/>
        <w:rPr>
          <w:rFonts w:asciiTheme="majorHAnsi" w:hAnsiTheme="majorHAnsi" w:cstheme="majorHAnsi"/>
          <w:szCs w:val="22"/>
        </w:rPr>
      </w:pPr>
      <w:r w:rsidRPr="00B052F4">
        <w:rPr>
          <w:rFonts w:asciiTheme="majorHAnsi" w:hAnsiTheme="majorHAnsi" w:cstheme="majorHAnsi"/>
          <w:szCs w:val="22"/>
        </w:rPr>
        <w:t>[I am the Chief Compliance Officer of the Applicant and issue this legal opinion in connection with the Applicant’s application to become a participant in the NPC Credit Transfer Scheme (the “</w:t>
      </w:r>
      <w:r w:rsidRPr="00B052F4">
        <w:rPr>
          <w:rFonts w:asciiTheme="majorHAnsi" w:hAnsiTheme="majorHAnsi" w:cstheme="majorHAnsi"/>
          <w:b/>
          <w:bCs/>
          <w:szCs w:val="22"/>
        </w:rPr>
        <w:t>Scheme</w:t>
      </w:r>
      <w:r>
        <w:rPr>
          <w:rFonts w:asciiTheme="majorHAnsi" w:hAnsiTheme="majorHAnsi" w:cstheme="majorHAnsi"/>
          <w:szCs w:val="22"/>
        </w:rPr>
        <w:t>”).]</w:t>
      </w:r>
    </w:p>
    <w:p w14:paraId="52A6A222" w14:textId="67FC6B28" w:rsidR="003D65F3" w:rsidRPr="00DA4EDB" w:rsidRDefault="002A7F6D" w:rsidP="003D65F3">
      <w:pPr>
        <w:pStyle w:val="BodyText"/>
        <w:rPr>
          <w:rFonts w:asciiTheme="majorHAnsi" w:hAnsiTheme="majorHAnsi" w:cstheme="majorHAnsi"/>
          <w:szCs w:val="22"/>
        </w:rPr>
      </w:pPr>
      <w:r w:rsidRPr="00DA4EDB">
        <w:rPr>
          <w:rFonts w:asciiTheme="majorHAnsi" w:hAnsiTheme="majorHAnsi" w:cstheme="majorHAnsi"/>
          <w:szCs w:val="22"/>
        </w:rPr>
        <w:t>All capitalised terms used and not otherwise defined in this opinion shall have the meanings ascribed to such terms in the NPC Credit Transfer Scheme Rulebook (the “</w:t>
      </w:r>
      <w:r w:rsidRPr="00DA4EDB">
        <w:rPr>
          <w:rFonts w:asciiTheme="majorHAnsi" w:hAnsiTheme="majorHAnsi" w:cstheme="majorHAnsi"/>
          <w:b/>
          <w:bCs/>
          <w:szCs w:val="22"/>
        </w:rPr>
        <w:t>Rulebook</w:t>
      </w:r>
      <w:r w:rsidRPr="00DA4EDB">
        <w:rPr>
          <w:rFonts w:asciiTheme="majorHAnsi" w:hAnsiTheme="majorHAnsi" w:cstheme="majorHAnsi"/>
          <w:szCs w:val="22"/>
        </w:rPr>
        <w:t>”).</w:t>
      </w:r>
    </w:p>
    <w:p w14:paraId="5DA6D9AD" w14:textId="77777777" w:rsidR="003D65F3" w:rsidRPr="00DA4EDB" w:rsidRDefault="002A7F6D" w:rsidP="003D65F3">
      <w:pPr>
        <w:pStyle w:val="BodyText"/>
        <w:rPr>
          <w:rFonts w:asciiTheme="majorHAnsi" w:hAnsiTheme="majorHAnsi" w:cstheme="majorHAnsi"/>
          <w:szCs w:val="22"/>
        </w:rPr>
      </w:pPr>
      <w:r w:rsidRPr="00DA4EDB">
        <w:rPr>
          <w:rFonts w:asciiTheme="majorHAnsi" w:hAnsiTheme="majorHAnsi" w:cstheme="majorHAnsi"/>
          <w:szCs w:val="22"/>
        </w:rPr>
        <w:t>This opinion is given in respect of the laws of [</w:t>
      </w:r>
      <w:r w:rsidRPr="00DA4EDB">
        <w:rPr>
          <w:rFonts w:asciiTheme="majorHAnsi" w:hAnsiTheme="majorHAnsi" w:cstheme="majorHAnsi"/>
          <w:i/>
          <w:iCs/>
          <w:szCs w:val="22"/>
        </w:rPr>
        <w:t>insert local jurisdiction</w:t>
      </w:r>
      <w:r w:rsidRPr="00DA4EDB">
        <w:rPr>
          <w:rFonts w:asciiTheme="majorHAnsi" w:hAnsiTheme="majorHAnsi" w:cstheme="majorHAnsi"/>
          <w:szCs w:val="22"/>
        </w:rPr>
        <w:t>].</w:t>
      </w:r>
    </w:p>
    <w:p w14:paraId="64F9AE31" w14:textId="77777777" w:rsidR="003D65F3" w:rsidRPr="00DA4EDB" w:rsidRDefault="002A7F6D" w:rsidP="003D65F3">
      <w:pPr>
        <w:pStyle w:val="BodyText"/>
        <w:rPr>
          <w:rFonts w:asciiTheme="majorHAnsi" w:hAnsiTheme="majorHAnsi" w:cstheme="majorHAnsi"/>
          <w:b/>
          <w:bCs/>
          <w:szCs w:val="22"/>
        </w:rPr>
      </w:pPr>
      <w:r w:rsidRPr="00DA4EDB">
        <w:rPr>
          <w:rFonts w:asciiTheme="majorHAnsi" w:hAnsiTheme="majorHAnsi" w:cstheme="majorHAnsi"/>
          <w:b/>
          <w:bCs/>
          <w:szCs w:val="22"/>
        </w:rPr>
        <w:t>ASSUMPTIONS</w:t>
      </w:r>
    </w:p>
    <w:p w14:paraId="599C80AA" w14:textId="59A7C515" w:rsidR="003D65F3" w:rsidRPr="00DA4EDB" w:rsidRDefault="002A7F6D" w:rsidP="003D65F3">
      <w:pPr>
        <w:pStyle w:val="BodyText"/>
        <w:rPr>
          <w:rFonts w:asciiTheme="majorHAnsi" w:hAnsiTheme="majorHAnsi" w:cstheme="majorHAnsi"/>
          <w:szCs w:val="22"/>
        </w:rPr>
      </w:pPr>
      <w:r>
        <w:rPr>
          <w:rFonts w:asciiTheme="majorHAnsi" w:hAnsiTheme="majorHAnsi" w:cstheme="majorHAnsi"/>
          <w:szCs w:val="22"/>
        </w:rPr>
        <w:t>[</w:t>
      </w:r>
      <w:r w:rsidRPr="00052C93">
        <w:rPr>
          <w:rFonts w:asciiTheme="majorHAnsi" w:hAnsiTheme="majorHAnsi" w:cstheme="majorHAnsi"/>
          <w:b/>
          <w:bCs/>
          <w:szCs w:val="22"/>
        </w:rPr>
        <w:t>Only for applicants which are not Swedish entities:</w:t>
      </w:r>
      <w:r w:rsidRPr="002E5C0E">
        <w:rPr>
          <w:rFonts w:asciiTheme="majorHAnsi" w:hAnsiTheme="majorHAnsi" w:cstheme="majorHAnsi"/>
          <w:szCs w:val="22"/>
        </w:rPr>
        <w:t xml:space="preserve"> We have assumed that the NPC Credit Transfer Adherence Agreement between the NPC and the Applicant dated [</w:t>
      </w:r>
      <w:r w:rsidRPr="002E5C0E">
        <w:rPr>
          <w:rFonts w:asciiTheme="majorHAnsi" w:hAnsiTheme="majorHAnsi" w:cstheme="majorHAnsi"/>
          <w:i/>
          <w:iCs/>
          <w:szCs w:val="22"/>
        </w:rPr>
        <w:t>insert the date of the Adherence Agreement</w:t>
      </w:r>
      <w:r w:rsidRPr="002E5C0E">
        <w:rPr>
          <w:rFonts w:asciiTheme="majorHAnsi" w:hAnsiTheme="majorHAnsi" w:cstheme="majorHAnsi"/>
          <w:szCs w:val="22"/>
        </w:rPr>
        <w:t>] (the “</w:t>
      </w:r>
      <w:r w:rsidRPr="002E5C0E">
        <w:rPr>
          <w:rFonts w:asciiTheme="majorHAnsi" w:hAnsiTheme="majorHAnsi" w:cstheme="majorHAnsi"/>
          <w:b/>
          <w:bCs/>
          <w:szCs w:val="22"/>
        </w:rPr>
        <w:t>Adherence Agreement</w:t>
      </w:r>
      <w:r w:rsidRPr="00DA4EDB">
        <w:rPr>
          <w:rFonts w:asciiTheme="majorHAnsi" w:hAnsiTheme="majorHAnsi" w:cstheme="majorHAnsi"/>
          <w:szCs w:val="22"/>
        </w:rPr>
        <w:t>”), and the Rulebook (including the Scheme Management Rules) are legal, valid, binding and enforceable under Swedish law].</w:t>
      </w:r>
    </w:p>
    <w:p w14:paraId="32513F80" w14:textId="09BA3EF7" w:rsidR="00E20FB4" w:rsidRPr="00DA4EDB" w:rsidRDefault="002A7F6D" w:rsidP="003D65F3">
      <w:pPr>
        <w:pStyle w:val="BodyText"/>
        <w:rPr>
          <w:rFonts w:asciiTheme="majorHAnsi" w:hAnsiTheme="majorHAnsi" w:cstheme="majorHAnsi"/>
          <w:szCs w:val="22"/>
        </w:rPr>
      </w:pPr>
      <w:r w:rsidRPr="00DA4EDB">
        <w:rPr>
          <w:rFonts w:asciiTheme="majorHAnsi" w:hAnsiTheme="majorHAnsi" w:cstheme="majorHAnsi"/>
          <w:szCs w:val="22"/>
        </w:rPr>
        <w:t>[</w:t>
      </w:r>
      <w:r w:rsidRPr="00DA4EDB">
        <w:rPr>
          <w:rFonts w:asciiTheme="majorHAnsi" w:hAnsiTheme="majorHAnsi" w:cstheme="majorHAnsi"/>
          <w:i/>
          <w:iCs/>
          <w:szCs w:val="22"/>
        </w:rPr>
        <w:t>insert any other assumptions as to factual, but not legal, matters relied on</w:t>
      </w:r>
      <w:r w:rsidRPr="00DA4EDB">
        <w:rPr>
          <w:rFonts w:asciiTheme="majorHAnsi" w:hAnsiTheme="majorHAnsi" w:cstheme="majorHAnsi"/>
          <w:szCs w:val="22"/>
        </w:rPr>
        <w:t>]</w:t>
      </w:r>
    </w:p>
    <w:p w14:paraId="11602820" w14:textId="77777777" w:rsidR="003D65F3" w:rsidRPr="00DA4EDB" w:rsidRDefault="002A7F6D" w:rsidP="003D65F3">
      <w:pPr>
        <w:pStyle w:val="BodyText"/>
        <w:rPr>
          <w:rFonts w:asciiTheme="majorHAnsi" w:hAnsiTheme="majorHAnsi" w:cstheme="majorHAnsi"/>
          <w:b/>
          <w:szCs w:val="22"/>
        </w:rPr>
      </w:pPr>
      <w:r w:rsidRPr="00DA4EDB">
        <w:rPr>
          <w:rFonts w:asciiTheme="majorHAnsi" w:hAnsiTheme="majorHAnsi" w:cstheme="majorHAnsi"/>
          <w:b/>
          <w:szCs w:val="22"/>
        </w:rPr>
        <w:t>OPINIONS</w:t>
      </w:r>
    </w:p>
    <w:p w14:paraId="30F00587" w14:textId="77777777" w:rsidR="003D65F3" w:rsidRPr="00DA4EDB" w:rsidRDefault="002A7F6D" w:rsidP="003D65F3">
      <w:pPr>
        <w:pStyle w:val="BodyText"/>
        <w:rPr>
          <w:rFonts w:asciiTheme="majorHAnsi" w:hAnsiTheme="majorHAnsi" w:cstheme="majorHAnsi"/>
          <w:szCs w:val="22"/>
        </w:rPr>
      </w:pPr>
      <w:r w:rsidRPr="00DA4EDB">
        <w:rPr>
          <w:rFonts w:asciiTheme="majorHAnsi" w:hAnsiTheme="majorHAnsi" w:cstheme="majorHAnsi"/>
          <w:szCs w:val="22"/>
        </w:rPr>
        <w:t>Based on the foregoing, it is my/our opinion that:</w:t>
      </w:r>
    </w:p>
    <w:p w14:paraId="2DA4CEC2" w14:textId="77777777" w:rsidR="00FE349C" w:rsidRDefault="00326400">
      <w:pPr>
        <w:pStyle w:val="BodyText"/>
        <w:rPr>
          <w:rFonts w:asciiTheme="majorHAnsi" w:hAnsiTheme="majorHAnsi" w:cstheme="majorHAnsi"/>
          <w:szCs w:val="22"/>
        </w:rPr>
      </w:pPr>
      <w:r w:rsidRPr="00DA4EDB">
        <w:rPr>
          <w:rFonts w:asciiTheme="majorHAnsi" w:hAnsiTheme="majorHAnsi" w:cstheme="majorHAnsi"/>
          <w:szCs w:val="22"/>
        </w:rPr>
        <w:t xml:space="preserve">1. The Applicant is </w:t>
      </w:r>
    </w:p>
    <w:p w14:paraId="71849B55" w14:textId="0433F74A" w:rsidR="003D65F3" w:rsidRPr="00DA4EDB" w:rsidRDefault="00326400" w:rsidP="00AD4D36">
      <w:pPr>
        <w:pStyle w:val="BodyText"/>
        <w:rPr>
          <w:rFonts w:asciiTheme="majorHAnsi" w:hAnsiTheme="majorHAnsi" w:cstheme="majorHAnsi"/>
        </w:rPr>
      </w:pPr>
      <w:r w:rsidRPr="00DA4EDB">
        <w:rPr>
          <w:rFonts w:asciiTheme="majorHAnsi" w:hAnsiTheme="majorHAnsi" w:cstheme="majorHAnsi"/>
        </w:rPr>
        <w:lastRenderedPageBreak/>
        <w:t>•</w:t>
      </w:r>
      <w:r w:rsidRPr="00DA4EDB">
        <w:rPr>
          <w:rFonts w:asciiTheme="majorHAnsi" w:hAnsiTheme="majorHAnsi" w:cstheme="majorHAnsi"/>
        </w:rPr>
        <w:tab/>
        <w:t>not an authorised payment institution under Article 11 of the Payment Services Directive but the Applicant is another payment service provider listed in Article 1.1 of the Payment Services Directive.</w:t>
      </w:r>
    </w:p>
    <w:p w14:paraId="5C70FC75" w14:textId="1CDA4368" w:rsidR="002F572B" w:rsidRPr="002F572B" w:rsidRDefault="002A7F6D" w:rsidP="002F572B">
      <w:pPr>
        <w:rPr>
          <w:rFonts w:asciiTheme="majorHAnsi" w:hAnsiTheme="majorHAnsi" w:cstheme="majorHAnsi"/>
          <w:szCs w:val="22"/>
          <w:lang w:val="en-US"/>
        </w:rPr>
      </w:pPr>
      <w:r w:rsidRPr="002F572B">
        <w:rPr>
          <w:rFonts w:asciiTheme="majorHAnsi" w:hAnsiTheme="majorHAnsi" w:cstheme="majorHAnsi"/>
          <w:szCs w:val="22"/>
        </w:rPr>
        <w:t xml:space="preserve">1. The Applicant is </w:t>
      </w:r>
      <w:r w:rsidR="00806305" w:rsidRPr="002F572B">
        <w:rPr>
          <w:rFonts w:asciiTheme="majorHAnsi" w:hAnsiTheme="majorHAnsi" w:cstheme="majorHAnsi"/>
          <w:szCs w:val="22"/>
          <w:lang w:val="en-US"/>
        </w:rPr>
        <w:t xml:space="preserve">the treasury of [insert name of </w:t>
      </w:r>
      <w:proofErr w:type="gramStart"/>
      <w:r w:rsidR="00806305" w:rsidRPr="002F572B">
        <w:rPr>
          <w:rFonts w:asciiTheme="majorHAnsi" w:hAnsiTheme="majorHAnsi" w:cstheme="majorHAnsi"/>
          <w:szCs w:val="22"/>
          <w:lang w:val="en-US"/>
        </w:rPr>
        <w:t>state][</w:t>
      </w:r>
      <w:proofErr w:type="gramEnd"/>
      <w:r w:rsidR="00806305" w:rsidRPr="002F572B">
        <w:rPr>
          <w:rFonts w:asciiTheme="majorHAnsi" w:hAnsiTheme="majorHAnsi" w:cstheme="majorHAnsi"/>
          <w:szCs w:val="22"/>
          <w:lang w:val="en-US"/>
        </w:rPr>
        <w:t xml:space="preserve">, which is [an EEA member state] </w:t>
      </w:r>
      <w:r w:rsidR="00806305" w:rsidRPr="002F572B">
        <w:rPr>
          <w:rFonts w:asciiTheme="majorHAnsi" w:hAnsiTheme="majorHAnsi" w:cstheme="majorHAnsi"/>
          <w:b/>
          <w:bCs/>
          <w:szCs w:val="22"/>
          <w:lang w:val="en-US"/>
        </w:rPr>
        <w:t>OR</w:t>
      </w:r>
      <w:r w:rsidRPr="002F572B">
        <w:rPr>
          <w:rFonts w:asciiTheme="majorHAnsi" w:hAnsiTheme="majorHAnsi" w:cstheme="majorHAnsi"/>
          <w:szCs w:val="22"/>
          <w:lang w:val="en-US"/>
        </w:rPr>
        <w:t xml:space="preserve"> [if Switzerland, name of state is sufficient]. </w:t>
      </w:r>
    </w:p>
    <w:p w14:paraId="31EC9AE6" w14:textId="798F1E9C" w:rsidR="00F96887" w:rsidRPr="002F572B" w:rsidRDefault="002A7F6D" w:rsidP="002F572B">
      <w:pPr>
        <w:rPr>
          <w:rFonts w:asciiTheme="majorHAnsi" w:hAnsiTheme="majorHAnsi" w:cstheme="majorHAnsi"/>
          <w:szCs w:val="22"/>
        </w:rPr>
      </w:pPr>
      <w:r w:rsidRPr="002F572B">
        <w:rPr>
          <w:rFonts w:asciiTheme="majorHAnsi" w:hAnsiTheme="majorHAnsi" w:cstheme="majorHAnsi"/>
          <w:szCs w:val="22"/>
          <w:lang w:val="en-US"/>
        </w:rPr>
        <w:t xml:space="preserve">2. The Applicant is </w:t>
      </w:r>
      <w:r w:rsidRPr="002F572B">
        <w:rPr>
          <w:rFonts w:asciiTheme="majorHAnsi" w:hAnsiTheme="majorHAnsi" w:cstheme="majorHAnsi"/>
          <w:szCs w:val="22"/>
        </w:rPr>
        <w:t>the treasury of the state itself, and not the treasury of an organ or entity under the control of the state.</w:t>
      </w:r>
    </w:p>
    <w:p w14:paraId="19D4EBA5" w14:textId="50659B25" w:rsidR="00FE349C" w:rsidRDefault="003D65F3" w:rsidP="003D65F3">
      <w:pPr>
        <w:rPr>
          <w:rFonts w:asciiTheme="majorHAnsi" w:hAnsiTheme="majorHAnsi" w:cstheme="majorHAnsi"/>
          <w:szCs w:val="22"/>
        </w:rPr>
      </w:pPr>
      <w:r w:rsidRPr="00DA4EDB">
        <w:rPr>
          <w:rFonts w:asciiTheme="majorHAnsi" w:hAnsiTheme="majorHAnsi" w:cstheme="majorHAnsi"/>
          <w:szCs w:val="22"/>
        </w:rPr>
        <w:t xml:space="preserve">3. The Applicant has the power and authority to </w:t>
      </w:r>
      <w:proofErr w:type="gramStart"/>
      <w:r w:rsidRPr="00DA4EDB">
        <w:rPr>
          <w:rFonts w:asciiTheme="majorHAnsi" w:hAnsiTheme="majorHAnsi" w:cstheme="majorHAnsi"/>
          <w:szCs w:val="22"/>
        </w:rPr>
        <w:t>enter into</w:t>
      </w:r>
      <w:proofErr w:type="gramEnd"/>
      <w:r w:rsidRPr="00DA4EDB">
        <w:rPr>
          <w:rFonts w:asciiTheme="majorHAnsi" w:hAnsiTheme="majorHAnsi" w:cstheme="majorHAnsi"/>
          <w:szCs w:val="22"/>
        </w:rPr>
        <w:t>, deliver and perform its obligations under the Rulebook and the Adherence Agreement and all necessary corporate and other action has been taken to enable the Applicant validly to enter into the Adherence Agreement.</w:t>
      </w:r>
    </w:p>
    <w:p w14:paraId="261827CA" w14:textId="7452860B" w:rsidR="001229CB" w:rsidRDefault="00E15BC1" w:rsidP="003D65F3">
      <w:pPr>
        <w:rPr>
          <w:rFonts w:asciiTheme="majorHAnsi" w:hAnsiTheme="majorHAnsi" w:cstheme="majorHAnsi"/>
          <w:szCs w:val="22"/>
        </w:rPr>
      </w:pPr>
      <w:r>
        <w:rPr>
          <w:rFonts w:asciiTheme="majorHAnsi" w:hAnsiTheme="majorHAnsi" w:cstheme="majorHAnsi"/>
          <w:szCs w:val="22"/>
        </w:rPr>
        <w:t xml:space="preserve">4. The Applicant is granted to be </w:t>
      </w:r>
      <w:proofErr w:type="gramStart"/>
      <w:r>
        <w:rPr>
          <w:rFonts w:asciiTheme="majorHAnsi" w:hAnsiTheme="majorHAnsi" w:cstheme="majorHAnsi"/>
          <w:szCs w:val="22"/>
        </w:rPr>
        <w:t>a</w:t>
      </w:r>
      <w:proofErr w:type="gramEnd"/>
      <w:r>
        <w:rPr>
          <w:rFonts w:asciiTheme="majorHAnsi" w:hAnsiTheme="majorHAnsi" w:cstheme="majorHAnsi"/>
          <w:szCs w:val="22"/>
        </w:rPr>
        <w:t xml:space="preserve"> NPC Non-Member Participant.</w:t>
      </w:r>
    </w:p>
    <w:p w14:paraId="775FCD23" w14:textId="1CED5B18" w:rsidR="00CE37DB" w:rsidRDefault="000F3D64" w:rsidP="003D65F3">
      <w:pPr>
        <w:rPr>
          <w:rFonts w:asciiTheme="majorHAnsi" w:hAnsiTheme="majorHAnsi" w:cstheme="majorHAnsi"/>
          <w:szCs w:val="22"/>
        </w:rPr>
      </w:pPr>
      <w:r w:rsidRPr="00DA4EDB">
        <w:rPr>
          <w:rFonts w:asciiTheme="majorHAnsi" w:hAnsiTheme="majorHAnsi" w:cstheme="majorHAnsi"/>
          <w:szCs w:val="22"/>
        </w:rPr>
        <w:t>5. The Applicant is active in the business of providing accounts used for the execution of payments, holding the Funds needed for the execution of payments or making the Funds received following the execution of payments available to Payment Service Users.</w:t>
      </w:r>
    </w:p>
    <w:p w14:paraId="2F8D7FC5" w14:textId="58CC6E60" w:rsidR="003D65F3" w:rsidRPr="00DA4EDB" w:rsidRDefault="00112BF7" w:rsidP="003D65F3">
      <w:pPr>
        <w:rPr>
          <w:rFonts w:asciiTheme="majorHAnsi" w:hAnsiTheme="majorHAnsi" w:cstheme="majorHAnsi"/>
          <w:szCs w:val="22"/>
        </w:rPr>
      </w:pPr>
      <w:r>
        <w:rPr>
          <w:rFonts w:asciiTheme="majorHAnsi" w:hAnsiTheme="majorHAnsi" w:cstheme="majorHAnsi"/>
          <w:szCs w:val="22"/>
        </w:rPr>
        <w:t xml:space="preserve">6. The Applicant [participates] </w:t>
      </w:r>
      <w:r w:rsidRPr="00E15BC1">
        <w:rPr>
          <w:rFonts w:asciiTheme="majorHAnsi" w:hAnsiTheme="majorHAnsi" w:cstheme="majorHAnsi"/>
          <w:b/>
          <w:bCs/>
          <w:szCs w:val="22"/>
        </w:rPr>
        <w:t>OR</w:t>
      </w:r>
      <w:r w:rsidR="00883E16" w:rsidRPr="00DA4EDB">
        <w:rPr>
          <w:rFonts w:asciiTheme="majorHAnsi" w:hAnsiTheme="majorHAnsi" w:cstheme="majorHAnsi"/>
          <w:szCs w:val="22"/>
        </w:rPr>
        <w:t xml:space="preserve"> [is eligible to participate], either directly or indirectly, in one or more CSMs for the purpose of providing access to the Scheme.</w:t>
      </w:r>
    </w:p>
    <w:p w14:paraId="467B97F0" w14:textId="35B33DBB" w:rsidR="003D65F3" w:rsidRPr="00DA4EDB" w:rsidRDefault="002A7F6D" w:rsidP="003D65F3">
      <w:pPr>
        <w:rPr>
          <w:rFonts w:asciiTheme="majorHAnsi" w:hAnsiTheme="majorHAnsi" w:cstheme="majorHAnsi"/>
          <w:szCs w:val="22"/>
        </w:rPr>
      </w:pPr>
      <w:r w:rsidRPr="00DA4EDB">
        <w:rPr>
          <w:rFonts w:asciiTheme="majorHAnsi" w:hAnsiTheme="majorHAnsi" w:cstheme="majorHAnsi"/>
          <w:szCs w:val="22"/>
        </w:rPr>
        <w:t xml:space="preserve">7. The Adherence Agreement has been validly executed by the </w:t>
      </w:r>
      <w:proofErr w:type="gramStart"/>
      <w:r w:rsidRPr="00DA4EDB">
        <w:rPr>
          <w:rFonts w:asciiTheme="majorHAnsi" w:hAnsiTheme="majorHAnsi" w:cstheme="majorHAnsi"/>
          <w:szCs w:val="22"/>
        </w:rPr>
        <w:t>Applicant</w:t>
      </w:r>
      <w:proofErr w:type="gramEnd"/>
      <w:r w:rsidRPr="00DA4EDB">
        <w:rPr>
          <w:rFonts w:asciiTheme="majorHAnsi" w:hAnsiTheme="majorHAnsi" w:cstheme="majorHAnsi"/>
          <w:szCs w:val="22"/>
        </w:rPr>
        <w:t xml:space="preserve"> and the Rulebook and the Adherence Agreement constitute legal, valid and binding obligations of the Applicant, enforceable against the Applicant in accordance with their terms.</w:t>
      </w:r>
    </w:p>
    <w:p w14:paraId="794214BB" w14:textId="3853F524" w:rsidR="003D65F3" w:rsidRPr="00DA4EDB" w:rsidRDefault="002A7F6D" w:rsidP="003D65F3">
      <w:pPr>
        <w:rPr>
          <w:rFonts w:asciiTheme="majorHAnsi" w:hAnsiTheme="majorHAnsi" w:cstheme="majorHAnsi"/>
          <w:szCs w:val="22"/>
        </w:rPr>
      </w:pPr>
      <w:r w:rsidRPr="00DA4EDB">
        <w:rPr>
          <w:rFonts w:asciiTheme="majorHAnsi" w:hAnsiTheme="majorHAnsi" w:cstheme="majorHAnsi"/>
          <w:szCs w:val="22"/>
        </w:rPr>
        <w:t>8. Under the laws of [insert local jurisdiction] in force to date, [there are no] [all] requirements to procure consents, authorisations, approvals of, or filing with any governmental authority or any regulatory authority in connection with the Applicant’s application to adhere to the Scheme [have been satisfied].</w:t>
      </w:r>
    </w:p>
    <w:p w14:paraId="2AB05407" w14:textId="07F0477D" w:rsidR="00E20FB4" w:rsidRDefault="00DA4EDB" w:rsidP="003D65F3">
      <w:pPr>
        <w:rPr>
          <w:rFonts w:asciiTheme="majorHAnsi" w:hAnsiTheme="majorHAnsi" w:cstheme="majorHAnsi"/>
          <w:szCs w:val="22"/>
        </w:rPr>
      </w:pPr>
      <w:r w:rsidRPr="00DA4EDB">
        <w:rPr>
          <w:rFonts w:asciiTheme="majorHAnsi" w:hAnsiTheme="majorHAnsi" w:cstheme="majorHAnsi"/>
          <w:szCs w:val="22"/>
        </w:rPr>
        <w:t>9. [The signatories of the Applicant have all necessary corporate authorisations and the power and authority to bind the Applicant to the Rulebook by signing and executing the Adherence Agreement.]</w:t>
      </w:r>
    </w:p>
    <w:p w14:paraId="2781BA83" w14:textId="097D3F37" w:rsidR="00DA4EDB" w:rsidRPr="00DA4EDB" w:rsidRDefault="002A7F6D" w:rsidP="003D65F3">
      <w:pPr>
        <w:rPr>
          <w:rFonts w:asciiTheme="majorHAnsi" w:hAnsiTheme="majorHAnsi" w:cstheme="majorHAnsi"/>
          <w:b/>
          <w:bCs/>
          <w:i/>
          <w:iCs/>
          <w:szCs w:val="22"/>
        </w:rPr>
      </w:pPr>
      <w:r w:rsidRPr="00DA4EDB">
        <w:rPr>
          <w:rFonts w:asciiTheme="majorHAnsi" w:hAnsiTheme="majorHAnsi" w:cstheme="majorHAnsi"/>
          <w:b/>
          <w:bCs/>
          <w:i/>
          <w:iCs/>
          <w:szCs w:val="22"/>
        </w:rPr>
        <w:t>OR if signed by an agent</w:t>
      </w:r>
    </w:p>
    <w:p w14:paraId="277EB31C" w14:textId="44857CC7" w:rsidR="00E20FB4" w:rsidRPr="00DA4EDB" w:rsidRDefault="002A7F6D" w:rsidP="003D65F3">
      <w:pPr>
        <w:rPr>
          <w:rFonts w:asciiTheme="majorHAnsi" w:hAnsiTheme="majorHAnsi" w:cstheme="majorHAnsi"/>
          <w:szCs w:val="22"/>
        </w:rPr>
      </w:pPr>
      <w:r w:rsidRPr="00DA4EDB">
        <w:rPr>
          <w:rFonts w:asciiTheme="majorHAnsi" w:hAnsiTheme="majorHAnsi" w:cstheme="majorHAnsi"/>
          <w:szCs w:val="22"/>
        </w:rPr>
        <w:t>[The agent which has executed the Adherence Agreement has all necessary corporate authorisations and the power and authority to bind the Applicant to the Rulebook by signing and executing the Adherence Agreement.]</w:t>
      </w:r>
    </w:p>
    <w:p w14:paraId="790A37E4" w14:textId="77777777" w:rsidR="003D65F3" w:rsidRPr="00DA4EDB" w:rsidRDefault="002A7F6D" w:rsidP="003D65F3">
      <w:pPr>
        <w:pStyle w:val="BodyText"/>
        <w:rPr>
          <w:rFonts w:asciiTheme="majorHAnsi" w:hAnsiTheme="majorHAnsi" w:cstheme="majorHAnsi"/>
          <w:b/>
          <w:szCs w:val="22"/>
        </w:rPr>
      </w:pPr>
      <w:r w:rsidRPr="00DA4EDB">
        <w:rPr>
          <w:rFonts w:asciiTheme="majorHAnsi" w:hAnsiTheme="majorHAnsi" w:cstheme="majorHAnsi"/>
          <w:b/>
          <w:szCs w:val="22"/>
        </w:rPr>
        <w:t>QUALIFICATIONS</w:t>
      </w:r>
    </w:p>
    <w:p w14:paraId="180F19E5" w14:textId="77777777" w:rsidR="003D65F3" w:rsidRPr="00DA4EDB" w:rsidRDefault="002A7F6D" w:rsidP="003D65F3">
      <w:pPr>
        <w:pStyle w:val="BodyText"/>
        <w:rPr>
          <w:rFonts w:asciiTheme="majorHAnsi" w:hAnsiTheme="majorHAnsi" w:cstheme="majorHAnsi"/>
          <w:i/>
          <w:szCs w:val="22"/>
        </w:rPr>
      </w:pPr>
      <w:r w:rsidRPr="00DA4EDB">
        <w:rPr>
          <w:rFonts w:asciiTheme="majorHAnsi" w:hAnsiTheme="majorHAnsi" w:cstheme="majorHAnsi"/>
          <w:szCs w:val="22"/>
        </w:rPr>
        <w:t>[</w:t>
      </w:r>
      <w:r w:rsidRPr="00DA4EDB">
        <w:rPr>
          <w:rFonts w:asciiTheme="majorHAnsi" w:hAnsiTheme="majorHAnsi" w:cstheme="majorHAnsi"/>
          <w:i/>
          <w:szCs w:val="22"/>
        </w:rPr>
        <w:t>insert qualifications, if any</w:t>
      </w:r>
      <w:r w:rsidRPr="00DA4EDB">
        <w:rPr>
          <w:rFonts w:asciiTheme="majorHAnsi" w:hAnsiTheme="majorHAnsi" w:cstheme="majorHAnsi"/>
          <w:szCs w:val="22"/>
        </w:rPr>
        <w:t>]</w:t>
      </w:r>
    </w:p>
    <w:p w14:paraId="66A82A5F" w14:textId="7638740F" w:rsidR="00E62C63" w:rsidRPr="00DA4EDB" w:rsidRDefault="002A7F6D" w:rsidP="003D65F3">
      <w:pPr>
        <w:pStyle w:val="BodyText"/>
        <w:rPr>
          <w:rFonts w:asciiTheme="majorHAnsi" w:hAnsiTheme="majorHAnsi" w:cstheme="majorHAnsi"/>
          <w:szCs w:val="22"/>
        </w:rPr>
      </w:pPr>
      <w:r w:rsidRPr="00DA4EDB">
        <w:rPr>
          <w:rFonts w:asciiTheme="majorHAnsi" w:hAnsiTheme="majorHAnsi" w:cstheme="majorHAnsi"/>
          <w:szCs w:val="22"/>
        </w:rPr>
        <w:t>This opinion is addressed to the NPC and may be relied upon by the NPC and its legal advisers only.</w:t>
      </w:r>
    </w:p>
    <w:p w14:paraId="7533A76B" w14:textId="2B336B1F" w:rsidR="0074694C" w:rsidRPr="00DA4EDB" w:rsidRDefault="0074694C" w:rsidP="003D65F3">
      <w:pPr>
        <w:pStyle w:val="BodyText"/>
        <w:rPr>
          <w:rFonts w:asciiTheme="majorHAnsi" w:hAnsiTheme="majorHAnsi" w:cstheme="majorHAnsi"/>
          <w:szCs w:val="22"/>
        </w:rPr>
      </w:pPr>
    </w:p>
    <w:p w14:paraId="6EA13EEE" w14:textId="77777777" w:rsidR="00C732E1" w:rsidRPr="00DA4EDB" w:rsidRDefault="00C732E1" w:rsidP="003D65F3">
      <w:pPr>
        <w:pStyle w:val="BodyText"/>
        <w:rPr>
          <w:rFonts w:asciiTheme="majorHAnsi" w:hAnsiTheme="majorHAnsi" w:cstheme="majorHAnsi"/>
          <w:szCs w:val="22"/>
        </w:rPr>
      </w:pPr>
    </w:p>
    <w:p w14:paraId="28392EBD" w14:textId="0BA9B77F" w:rsidR="003D65F3" w:rsidRPr="00DA4EDB" w:rsidRDefault="002A7F6D" w:rsidP="003D65F3">
      <w:pPr>
        <w:pStyle w:val="StyleBefore6ptAfter6pt"/>
        <w:ind w:left="0"/>
        <w:rPr>
          <w:rFonts w:asciiTheme="majorHAnsi" w:hAnsiTheme="majorHAnsi" w:cstheme="majorHAnsi"/>
          <w:bCs/>
          <w:szCs w:val="22"/>
        </w:rPr>
      </w:pPr>
      <w:r w:rsidRPr="00DA4EDB">
        <w:rPr>
          <w:rFonts w:asciiTheme="majorHAnsi" w:hAnsiTheme="majorHAnsi" w:cstheme="majorHAnsi"/>
          <w:bCs/>
          <w:szCs w:val="22"/>
        </w:rPr>
        <w:t>Signature,</w:t>
      </w:r>
    </w:p>
    <w:p w14:paraId="34C2E2CD" w14:textId="77777777" w:rsidR="003D65F3" w:rsidRPr="00DA4EDB" w:rsidRDefault="002A7F6D" w:rsidP="003D65F3">
      <w:pPr>
        <w:pStyle w:val="StyleBefore6ptAfter6pt"/>
        <w:ind w:left="0"/>
        <w:rPr>
          <w:rFonts w:asciiTheme="majorHAnsi" w:hAnsiTheme="majorHAnsi" w:cstheme="majorHAnsi"/>
          <w:bCs/>
          <w:szCs w:val="22"/>
        </w:rPr>
      </w:pPr>
      <w:r w:rsidRPr="00DA4EDB">
        <w:rPr>
          <w:rFonts w:asciiTheme="majorHAnsi" w:hAnsiTheme="majorHAnsi" w:cstheme="majorHAnsi"/>
          <w:bCs/>
          <w:szCs w:val="22"/>
        </w:rPr>
        <w:t>[NAME]</w:t>
      </w:r>
    </w:p>
    <w:p w14:paraId="338399A8" w14:textId="04FD2621" w:rsidR="003D65F3" w:rsidRDefault="002A7F6D" w:rsidP="003D65F3">
      <w:pPr>
        <w:rPr>
          <w:bCs/>
          <w:szCs w:val="22"/>
        </w:rPr>
      </w:pPr>
      <w:r w:rsidRPr="00DA4EDB">
        <w:rPr>
          <w:rFonts w:asciiTheme="majorHAnsi" w:hAnsiTheme="majorHAnsi" w:cstheme="majorHAnsi"/>
          <w:bCs/>
          <w:szCs w:val="22"/>
        </w:rPr>
        <w:lastRenderedPageBreak/>
        <w:t>[TITLE</w:t>
      </w:r>
      <w:r w:rsidRPr="006E4E07">
        <w:rPr>
          <w:bCs/>
          <w:szCs w:val="22"/>
        </w:rPr>
        <w:t>]</w:t>
      </w:r>
    </w:p>
    <w:sectPr w:rsidR="003D65F3" w:rsidSect="0030559A">
      <w:headerReference w:type="even" r:id="rId10"/>
      <w:headerReference w:type="default" r:id="rId11"/>
      <w:footerReference w:type="even" r:id="rId12"/>
      <w:footerReference w:type="default" r:id="rId13"/>
      <w:headerReference w:type="first" r:id="rId14"/>
      <w:footerReference w:type="first" r:id="rId15"/>
      <w:pgSz w:w="11906" w:h="16838" w:code="9"/>
      <w:pgMar w:top="2013" w:right="1361" w:bottom="2325" w:left="2155" w:header="680"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EA909" w14:textId="77777777" w:rsidR="002A7F6D" w:rsidRDefault="002A7F6D">
      <w:pPr>
        <w:spacing w:before="0" w:after="0"/>
      </w:pPr>
      <w:r>
        <w:separator/>
      </w:r>
    </w:p>
  </w:endnote>
  <w:endnote w:type="continuationSeparator" w:id="0">
    <w:p w14:paraId="33B2B510" w14:textId="77777777" w:rsidR="002A7F6D" w:rsidRDefault="002A7F6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charset w:val="00"/>
    <w:family w:val="roman"/>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252E0" w14:textId="77777777" w:rsidR="00886B35" w:rsidRDefault="00886B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8A320" w14:textId="475C28B3" w:rsidR="007B3CF5" w:rsidRDefault="002A7F6D" w:rsidP="007B3CF5">
    <w:pPr>
      <w:pStyle w:val="Footer"/>
      <w:jc w:val="right"/>
      <w:rPr>
        <w:sz w:val="20"/>
      </w:rPr>
    </w:pPr>
    <w:r>
      <w:rPr>
        <w:noProof/>
        <w:sz w:val="20"/>
      </w:rPr>
      <mc:AlternateContent>
        <mc:Choice Requires="wps">
          <w:drawing>
            <wp:anchor distT="0" distB="0" distL="114300" distR="114300" simplePos="0" relativeHeight="251658240" behindDoc="0" locked="0" layoutInCell="1" allowOverlap="1" wp14:anchorId="6221CA6D" wp14:editId="455F95C8">
              <wp:simplePos x="0" y="0"/>
              <wp:positionH relativeFrom="column">
                <wp:posOffset>108585</wp:posOffset>
              </wp:positionH>
              <wp:positionV relativeFrom="paragraph">
                <wp:posOffset>8554085</wp:posOffset>
              </wp:positionV>
              <wp:extent cx="360000" cy="1584000"/>
              <wp:effectExtent l="0" t="0" r="0" b="0"/>
              <wp:wrapNone/>
              <wp:docPr id="1235700493" name="Textruta 1" descr="DocID"/>
              <wp:cNvGraphicFramePr/>
              <a:graphic xmlns:a="http://schemas.openxmlformats.org/drawingml/2006/main">
                <a:graphicData uri="http://schemas.microsoft.com/office/word/2010/wordprocessingShape">
                  <wps:wsp>
                    <wps:cNvSpPr txBox="1"/>
                    <wps:spPr>
                      <a:xfrm>
                        <a:off x="0" y="0"/>
                        <a:ext cx="360000" cy="1584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4D8A42F" w14:textId="77777777" w:rsidR="00886B35" w:rsidRPr="00171879" w:rsidRDefault="002A7F6D">
                          <w:pPr>
                            <w:rPr>
                              <w:rFonts w:ascii="Arial" w:hAnsi="Arial" w:cs="Arial"/>
                              <w:color w:val="A0A0A0"/>
                              <w:sz w:val="13"/>
                            </w:rPr>
                          </w:pPr>
                          <w:r w:rsidRPr="00171879">
                            <w:rPr>
                              <w:rFonts w:ascii="Arial" w:hAnsi="Arial" w:cs="Arial"/>
                              <w:color w:val="A0A0A0"/>
                              <w:sz w:val="13"/>
                            </w:rPr>
                            <w:t>SW45809545/1</w:t>
                          </w:r>
                        </w:p>
                      </w:txbxContent>
                    </wps:txbx>
                    <wps:bodyPr rot="0" spcFirstLastPara="0" vertOverflow="overflow" horzOverflow="overflow" vert="mongolianVert" wrap="square" lIns="91440" tIns="45720" rIns="91440" bIns="45720" numCol="1" spcCol="0" rtlCol="0" fromWordArt="0" anchor="t" anchorCtr="0" forceAA="0" compatLnSpc="1">
                      <a:prstTxWarp prst="textNoShape">
                        <a:avLst/>
                      </a:prstTxWarp>
                    </wps:bodyPr>
                  </wps:wsp>
                </a:graphicData>
              </a:graphic>
            </wp:anchor>
          </w:drawing>
        </mc:Choice>
        <mc:Fallback>
          <w:pict>
            <v:shapetype w14:anchorId="6221CA6D" id="_x0000_t202" coordsize="21600,21600" o:spt="202" path="m,l,21600r21600,l21600,xe">
              <v:stroke joinstyle="miter"/>
              <v:path gradientshapeok="t" o:connecttype="rect"/>
            </v:shapetype>
            <v:shape id="Textruta 1" o:spid="_x0000_s1026" type="#_x0000_t202" alt="DocID" style="position:absolute;left:0;text-align:left;margin-left:8.55pt;margin-top:673.55pt;width:28.35pt;height:124.7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" filled="f" stroked="f" strokeweight=".5pt">
              <v:textbox style="layout-flow:vertical;mso-layout-flow-alt:top-to-bottom">
                <w:txbxContent>
                  <w:p w14:paraId="04D8A42F" w14:textId="77777777" w:rsidR="00886B35" w:rsidRPr="00171879" w:rsidRDefault="002A7F6D">
                    <w:pPr>
                      <w:rPr>
                        <w:rFonts w:ascii="Arial" w:hAnsi="Arial" w:cs="Arial"/>
                        <w:color w:val="A0A0A0"/>
                        <w:sz w:val="13"/>
                      </w:rPr>
                    </w:pPr>
                    <w:r w:rsidRPr="00171879">
                      <w:rPr>
                        <w:rFonts w:ascii="Arial" w:hAnsi="Arial" w:cs="Arial"/>
                        <w:color w:val="A0A0A0"/>
                        <w:sz w:val="13"/>
                      </w:rPr>
                      <w:t>SW45809545/1</w:t>
                    </w:r>
                  </w:p>
                </w:txbxContent>
              </v:textbox>
            </v:shape>
          </w:pict>
        </mc:Fallback>
      </mc:AlternateContent>
    </w:r>
    <w:r w:rsidR="007B3CF5">
      <w:rPr>
        <w:sz w:val="20"/>
      </w:rPr>
      <w:fldChar w:fldCharType="begin"/>
    </w:r>
    <w:r w:rsidR="007B3CF5">
      <w:rPr>
        <w:sz w:val="20"/>
      </w:rPr>
      <w:instrText xml:space="preserve"> PAGE  \* Arabic  \* MERGEFORMAT </w:instrText>
    </w:r>
    <w:r w:rsidR="007B3CF5">
      <w:rPr>
        <w:sz w:val="20"/>
      </w:rPr>
      <w:fldChar w:fldCharType="separate"/>
    </w:r>
    <w:r w:rsidR="000753D8">
      <w:rPr>
        <w:noProof/>
        <w:sz w:val="20"/>
      </w:rPr>
      <w:t>2</w:t>
    </w:r>
    <w:r w:rsidR="007B3CF5">
      <w:rPr>
        <w:sz w:val="20"/>
      </w:rPr>
      <w:fldChar w:fldCharType="end"/>
    </w:r>
  </w:p>
  <w:p w14:paraId="69B6D053" w14:textId="77777777" w:rsidR="00217CB1" w:rsidRPr="007B3CF5" w:rsidRDefault="00217CB1" w:rsidP="007B3CF5">
    <w:pPr>
      <w:pStyle w:val="Footer"/>
      <w:jc w:val="right"/>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8148491"/>
      <w:docPartObj>
        <w:docPartGallery w:val="Page Numbers (Bottom of Page)"/>
        <w:docPartUnique/>
      </w:docPartObj>
    </w:sdtPr>
    <w:sdtEndPr>
      <w:rPr>
        <w:sz w:val="20"/>
        <w:szCs w:val="20"/>
      </w:rPr>
    </w:sdtEndPr>
    <w:sdtContent>
      <w:p w14:paraId="680F234D" w14:textId="5F68F22A" w:rsidR="00D06366" w:rsidRPr="0091104A" w:rsidRDefault="002A7F6D">
        <w:pPr>
          <w:pStyle w:val="Footer"/>
          <w:jc w:val="right"/>
          <w:rPr>
            <w:sz w:val="20"/>
            <w:szCs w:val="20"/>
          </w:rPr>
        </w:pPr>
        <w:r w:rsidRPr="0091104A">
          <w:rPr>
            <w:sz w:val="20"/>
            <w:szCs w:val="20"/>
          </w:rPr>
          <w:fldChar w:fldCharType="begin"/>
        </w:r>
        <w:r w:rsidRPr="0091104A">
          <w:rPr>
            <w:sz w:val="20"/>
            <w:szCs w:val="20"/>
          </w:rPr>
          <w:instrText>PAGE   \* MERGEFORMAT</w:instrText>
        </w:r>
        <w:r w:rsidRPr="0091104A">
          <w:rPr>
            <w:sz w:val="20"/>
            <w:szCs w:val="20"/>
          </w:rPr>
          <w:fldChar w:fldCharType="separate"/>
        </w:r>
        <w:r w:rsidRPr="0091104A">
          <w:rPr>
            <w:sz w:val="20"/>
            <w:szCs w:val="20"/>
            <w:lang w:val="sv-SE"/>
          </w:rPr>
          <w:t>2</w:t>
        </w:r>
        <w:r w:rsidRPr="0091104A">
          <w:rPr>
            <w:sz w:val="20"/>
            <w:szCs w:val="20"/>
          </w:rPr>
          <w:fldChar w:fldCharType="end"/>
        </w:r>
      </w:p>
    </w:sdtContent>
  </w:sdt>
  <w:p w14:paraId="5E657F05" w14:textId="347783FC" w:rsidR="00AE31CF" w:rsidRPr="0030559A" w:rsidRDefault="00AE31CF" w:rsidP="007E5E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F4EFD" w14:textId="77777777" w:rsidR="002A7F6D" w:rsidRDefault="002A7F6D">
      <w:pPr>
        <w:spacing w:before="0" w:after="0"/>
      </w:pPr>
      <w:r>
        <w:separator/>
      </w:r>
    </w:p>
  </w:footnote>
  <w:footnote w:type="continuationSeparator" w:id="0">
    <w:p w14:paraId="6CAF0FF8" w14:textId="77777777" w:rsidR="002A7F6D" w:rsidRDefault="002A7F6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1221F" w14:textId="77777777" w:rsidR="00886B35" w:rsidRDefault="00886B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3B17A" w14:textId="77777777" w:rsidR="00886B35" w:rsidRDefault="00886B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7E0CE" w14:textId="77777777" w:rsidR="00886B35" w:rsidRDefault="00886B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A669D5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3892321"/>
    <w:multiLevelType w:val="multilevel"/>
    <w:tmpl w:val="08B45568"/>
    <w:numStyleLink w:val="SetterwallsTabellnumrering"/>
  </w:abstractNum>
  <w:abstractNum w:abstractNumId="2" w15:restartNumberingAfterBreak="0">
    <w:nsid w:val="30241995"/>
    <w:multiLevelType w:val="hybridMultilevel"/>
    <w:tmpl w:val="4D228FA4"/>
    <w:lvl w:ilvl="0" w:tplc="BF68852C">
      <w:start w:val="1"/>
      <w:numFmt w:val="decimal"/>
      <w:lvlText w:val="%1."/>
      <w:lvlJc w:val="left"/>
      <w:pPr>
        <w:ind w:left="720" w:hanging="360"/>
      </w:pPr>
      <w:rPr>
        <w:rFonts w:hint="default"/>
      </w:rPr>
    </w:lvl>
    <w:lvl w:ilvl="1" w:tplc="625CBE70" w:tentative="1">
      <w:start w:val="1"/>
      <w:numFmt w:val="lowerLetter"/>
      <w:lvlText w:val="%2."/>
      <w:lvlJc w:val="left"/>
      <w:pPr>
        <w:ind w:left="1440" w:hanging="360"/>
      </w:pPr>
    </w:lvl>
    <w:lvl w:ilvl="2" w:tplc="46E645AE" w:tentative="1">
      <w:start w:val="1"/>
      <w:numFmt w:val="lowerRoman"/>
      <w:lvlText w:val="%3."/>
      <w:lvlJc w:val="right"/>
      <w:pPr>
        <w:ind w:left="2160" w:hanging="180"/>
      </w:pPr>
    </w:lvl>
    <w:lvl w:ilvl="3" w:tplc="8DB84170" w:tentative="1">
      <w:start w:val="1"/>
      <w:numFmt w:val="decimal"/>
      <w:lvlText w:val="%4."/>
      <w:lvlJc w:val="left"/>
      <w:pPr>
        <w:ind w:left="2880" w:hanging="360"/>
      </w:pPr>
    </w:lvl>
    <w:lvl w:ilvl="4" w:tplc="AFC23B72" w:tentative="1">
      <w:start w:val="1"/>
      <w:numFmt w:val="lowerLetter"/>
      <w:lvlText w:val="%5."/>
      <w:lvlJc w:val="left"/>
      <w:pPr>
        <w:ind w:left="3600" w:hanging="360"/>
      </w:pPr>
    </w:lvl>
    <w:lvl w:ilvl="5" w:tplc="EF3A3F8A" w:tentative="1">
      <w:start w:val="1"/>
      <w:numFmt w:val="lowerRoman"/>
      <w:lvlText w:val="%6."/>
      <w:lvlJc w:val="right"/>
      <w:pPr>
        <w:ind w:left="4320" w:hanging="180"/>
      </w:pPr>
    </w:lvl>
    <w:lvl w:ilvl="6" w:tplc="0FE88180" w:tentative="1">
      <w:start w:val="1"/>
      <w:numFmt w:val="decimal"/>
      <w:lvlText w:val="%7."/>
      <w:lvlJc w:val="left"/>
      <w:pPr>
        <w:ind w:left="5040" w:hanging="360"/>
      </w:pPr>
    </w:lvl>
    <w:lvl w:ilvl="7" w:tplc="9DCC1C14" w:tentative="1">
      <w:start w:val="1"/>
      <w:numFmt w:val="lowerLetter"/>
      <w:lvlText w:val="%8."/>
      <w:lvlJc w:val="left"/>
      <w:pPr>
        <w:ind w:left="5760" w:hanging="360"/>
      </w:pPr>
    </w:lvl>
    <w:lvl w:ilvl="8" w:tplc="847E6A94" w:tentative="1">
      <w:start w:val="1"/>
      <w:numFmt w:val="lowerRoman"/>
      <w:lvlText w:val="%9."/>
      <w:lvlJc w:val="right"/>
      <w:pPr>
        <w:ind w:left="6480" w:hanging="180"/>
      </w:pPr>
    </w:lvl>
  </w:abstractNum>
  <w:abstractNum w:abstractNumId="3" w15:restartNumberingAfterBreak="0">
    <w:nsid w:val="42B14279"/>
    <w:multiLevelType w:val="multilevel"/>
    <w:tmpl w:val="6660F61E"/>
    <w:lvl w:ilvl="0">
      <w:start w:val="1"/>
      <w:numFmt w:val="decimal"/>
      <w:pStyle w:val="ListLegal1"/>
      <w:lvlText w:val="%1."/>
      <w:lvlJc w:val="left"/>
      <w:pPr>
        <w:tabs>
          <w:tab w:val="num" w:pos="624"/>
        </w:tabs>
        <w:ind w:left="624" w:hanging="624"/>
      </w:pPr>
      <w:rPr>
        <w:rFonts w:ascii="CG Times" w:hAnsi="CG Times" w:hint="default"/>
        <w:b w:val="0"/>
        <w:i w:val="0"/>
        <w:sz w:val="20"/>
      </w:rPr>
    </w:lvl>
    <w:lvl w:ilvl="1">
      <w:start w:val="1"/>
      <w:numFmt w:val="decimal"/>
      <w:pStyle w:val="ListLegal2"/>
      <w:lvlText w:val="%1.%2"/>
      <w:lvlJc w:val="left"/>
      <w:pPr>
        <w:tabs>
          <w:tab w:val="num" w:pos="624"/>
        </w:tabs>
        <w:ind w:left="624" w:hanging="624"/>
      </w:pPr>
      <w:rPr>
        <w:rFonts w:hint="default"/>
        <w:b w:val="0"/>
        <w:i w:val="0"/>
        <w:sz w:val="20"/>
      </w:rPr>
    </w:lvl>
    <w:lvl w:ilvl="2">
      <w:start w:val="1"/>
      <w:numFmt w:val="decimal"/>
      <w:pStyle w:val="ListLegal3"/>
      <w:lvlText w:val="%1.%2.%3"/>
      <w:lvlJc w:val="left"/>
      <w:pPr>
        <w:tabs>
          <w:tab w:val="num" w:pos="1417"/>
        </w:tabs>
        <w:ind w:left="1417" w:hanging="793"/>
      </w:pPr>
      <w:rPr>
        <w:rFonts w:hint="default"/>
        <w:b w:val="0"/>
        <w:i w:val="0"/>
        <w:sz w:val="18"/>
      </w:rPr>
    </w:lvl>
    <w:lvl w:ilvl="3">
      <w:start w:val="1"/>
      <w:numFmt w:val="decimal"/>
      <w:pStyle w:val="ListArabic4"/>
      <w:lvlText w:val="(%4)"/>
      <w:lvlJc w:val="left"/>
      <w:pPr>
        <w:tabs>
          <w:tab w:val="num" w:pos="2438"/>
        </w:tabs>
        <w:ind w:left="2438" w:hanging="510"/>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decimal"/>
      <w:lvlText w:val="(%6)"/>
      <w:lvlJc w:val="left"/>
      <w:pPr>
        <w:tabs>
          <w:tab w:val="num" w:pos="2948"/>
        </w:tabs>
        <w:ind w:left="2948" w:hanging="510"/>
      </w:pPr>
      <w:rPr>
        <w:rFonts w:hint="default"/>
        <w:b w:val="0"/>
        <w:i w:val="0"/>
        <w:sz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4" w15:restartNumberingAfterBreak="0">
    <w:nsid w:val="55AB3979"/>
    <w:multiLevelType w:val="hybridMultilevel"/>
    <w:tmpl w:val="92F8B082"/>
    <w:lvl w:ilvl="0" w:tplc="88A6A910">
      <w:start w:val="1"/>
      <w:numFmt w:val="decimal"/>
      <w:lvlText w:val="%1."/>
      <w:lvlJc w:val="left"/>
      <w:pPr>
        <w:ind w:left="360" w:hanging="360"/>
      </w:pPr>
      <w:rPr>
        <w:rFonts w:hint="default"/>
      </w:rPr>
    </w:lvl>
    <w:lvl w:ilvl="1" w:tplc="37121088" w:tentative="1">
      <w:start w:val="1"/>
      <w:numFmt w:val="lowerLetter"/>
      <w:lvlText w:val="%2."/>
      <w:lvlJc w:val="left"/>
      <w:pPr>
        <w:ind w:left="2347" w:hanging="360"/>
      </w:pPr>
    </w:lvl>
    <w:lvl w:ilvl="2" w:tplc="7AF43DAA" w:tentative="1">
      <w:start w:val="1"/>
      <w:numFmt w:val="lowerRoman"/>
      <w:lvlText w:val="%3."/>
      <w:lvlJc w:val="right"/>
      <w:pPr>
        <w:ind w:left="3067" w:hanging="180"/>
      </w:pPr>
    </w:lvl>
    <w:lvl w:ilvl="3" w:tplc="14B01A56" w:tentative="1">
      <w:start w:val="1"/>
      <w:numFmt w:val="decimal"/>
      <w:lvlText w:val="%4."/>
      <w:lvlJc w:val="left"/>
      <w:pPr>
        <w:ind w:left="3787" w:hanging="360"/>
      </w:pPr>
    </w:lvl>
    <w:lvl w:ilvl="4" w:tplc="9E161806" w:tentative="1">
      <w:start w:val="1"/>
      <w:numFmt w:val="lowerLetter"/>
      <w:lvlText w:val="%5."/>
      <w:lvlJc w:val="left"/>
      <w:pPr>
        <w:ind w:left="4507" w:hanging="360"/>
      </w:pPr>
    </w:lvl>
    <w:lvl w:ilvl="5" w:tplc="F0CE9A76" w:tentative="1">
      <w:start w:val="1"/>
      <w:numFmt w:val="lowerRoman"/>
      <w:lvlText w:val="%6."/>
      <w:lvlJc w:val="right"/>
      <w:pPr>
        <w:ind w:left="5227" w:hanging="180"/>
      </w:pPr>
    </w:lvl>
    <w:lvl w:ilvl="6" w:tplc="3D00967A" w:tentative="1">
      <w:start w:val="1"/>
      <w:numFmt w:val="decimal"/>
      <w:lvlText w:val="%7."/>
      <w:lvlJc w:val="left"/>
      <w:pPr>
        <w:ind w:left="5947" w:hanging="360"/>
      </w:pPr>
    </w:lvl>
    <w:lvl w:ilvl="7" w:tplc="3F088FDE" w:tentative="1">
      <w:start w:val="1"/>
      <w:numFmt w:val="lowerLetter"/>
      <w:lvlText w:val="%8."/>
      <w:lvlJc w:val="left"/>
      <w:pPr>
        <w:ind w:left="6667" w:hanging="360"/>
      </w:pPr>
    </w:lvl>
    <w:lvl w:ilvl="8" w:tplc="BA7A7194" w:tentative="1">
      <w:start w:val="1"/>
      <w:numFmt w:val="lowerRoman"/>
      <w:lvlText w:val="%9."/>
      <w:lvlJc w:val="right"/>
      <w:pPr>
        <w:ind w:left="7387" w:hanging="180"/>
      </w:pPr>
    </w:lvl>
  </w:abstractNum>
  <w:abstractNum w:abstractNumId="5" w15:restartNumberingAfterBreak="0">
    <w:nsid w:val="5854686E"/>
    <w:multiLevelType w:val="multilevel"/>
    <w:tmpl w:val="6EA8B096"/>
    <w:lvl w:ilvl="0">
      <w:start w:val="1"/>
      <w:numFmt w:val="decimal"/>
      <w:lvlText w:val="%1."/>
      <w:lvlJc w:val="left"/>
      <w:pPr>
        <w:tabs>
          <w:tab w:val="num" w:pos="907"/>
        </w:tabs>
        <w:ind w:left="907" w:hanging="90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59F96BB6"/>
    <w:multiLevelType w:val="multilevel"/>
    <w:tmpl w:val="D5F84B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B8D6B7F"/>
    <w:multiLevelType w:val="multilevel"/>
    <w:tmpl w:val="A7641D30"/>
    <w:styleLink w:val="Setterwallsnumrering"/>
    <w:lvl w:ilvl="0">
      <w:start w:val="1"/>
      <w:numFmt w:val="decimal"/>
      <w:pStyle w:val="Nr-Rubrik1"/>
      <w:lvlText w:val="%1."/>
      <w:lvlJc w:val="left"/>
      <w:pPr>
        <w:tabs>
          <w:tab w:val="num" w:pos="907"/>
        </w:tabs>
        <w:ind w:left="907" w:hanging="907"/>
      </w:pPr>
      <w:rPr>
        <w:rFonts w:hint="default"/>
      </w:rPr>
    </w:lvl>
    <w:lvl w:ilvl="1">
      <w:start w:val="1"/>
      <w:numFmt w:val="decimal"/>
      <w:pStyle w:val="Nr-Rubrik2"/>
      <w:lvlText w:val="%1.%2"/>
      <w:lvlJc w:val="left"/>
      <w:pPr>
        <w:tabs>
          <w:tab w:val="num" w:pos="907"/>
        </w:tabs>
        <w:ind w:left="907" w:hanging="907"/>
      </w:pPr>
      <w:rPr>
        <w:rFonts w:hint="default"/>
      </w:rPr>
    </w:lvl>
    <w:lvl w:ilvl="2">
      <w:start w:val="1"/>
      <w:numFmt w:val="decimal"/>
      <w:pStyle w:val="Nr-Rubrik3"/>
      <w:lvlText w:val="%1.%2.%3"/>
      <w:lvlJc w:val="left"/>
      <w:pPr>
        <w:tabs>
          <w:tab w:val="num" w:pos="907"/>
        </w:tabs>
        <w:ind w:left="907" w:hanging="907"/>
      </w:pPr>
      <w:rPr>
        <w:rFonts w:hint="default"/>
      </w:rPr>
    </w:lvl>
    <w:lvl w:ilvl="3">
      <w:start w:val="1"/>
      <w:numFmt w:val="decimal"/>
      <w:pStyle w:val="Nr-Rubrik4"/>
      <w:lvlText w:val="%1.%2.%3.%4"/>
      <w:lvlJc w:val="left"/>
      <w:pPr>
        <w:tabs>
          <w:tab w:val="num" w:pos="907"/>
        </w:tabs>
        <w:ind w:left="907" w:hanging="907"/>
      </w:pPr>
      <w:rPr>
        <w:rFonts w:hint="default"/>
      </w:rPr>
    </w:lvl>
    <w:lvl w:ilvl="4">
      <w:start w:val="1"/>
      <w:numFmt w:val="decimal"/>
      <w:lvlText w:val="%4.%5"/>
      <w:lvlJc w:val="left"/>
      <w:pPr>
        <w:tabs>
          <w:tab w:val="num" w:pos="907"/>
        </w:tabs>
        <w:ind w:left="907" w:hanging="907"/>
      </w:pPr>
      <w:rPr>
        <w:rFonts w:hint="default"/>
      </w:rPr>
    </w:lvl>
    <w:lvl w:ilvl="5">
      <w:start w:val="1"/>
      <w:numFmt w:val="decimal"/>
      <w:lvlText w:val="%4.%5.%6"/>
      <w:lvlJc w:val="left"/>
      <w:pPr>
        <w:tabs>
          <w:tab w:val="num" w:pos="907"/>
        </w:tabs>
        <w:ind w:left="907" w:hanging="907"/>
      </w:pPr>
      <w:rPr>
        <w:rFonts w:hint="default"/>
      </w:rPr>
    </w:lvl>
    <w:lvl w:ilvl="6">
      <w:start w:val="1"/>
      <w:numFmt w:val="decimal"/>
      <w:lvlText w:val="%4.%5.%6.%7"/>
      <w:lvlJc w:val="left"/>
      <w:pPr>
        <w:tabs>
          <w:tab w:val="num" w:pos="907"/>
        </w:tabs>
        <w:ind w:left="907" w:hanging="907"/>
      </w:pPr>
      <w:rPr>
        <w:rFonts w:hint="default"/>
      </w:rPr>
    </w:lvl>
    <w:lvl w:ilvl="7">
      <w:start w:val="1"/>
      <w:numFmt w:val="lowerLetter"/>
      <w:lvlRestart w:val="0"/>
      <w:pStyle w:val="a-lista"/>
      <w:lvlText w:val="(%8)"/>
      <w:lvlJc w:val="left"/>
      <w:pPr>
        <w:tabs>
          <w:tab w:val="num" w:pos="1418"/>
        </w:tabs>
        <w:ind w:left="1418" w:hanging="511"/>
      </w:pPr>
      <w:rPr>
        <w:rFonts w:hint="default"/>
      </w:rPr>
    </w:lvl>
    <w:lvl w:ilvl="8">
      <w:start w:val="1"/>
      <w:numFmt w:val="lowerRoman"/>
      <w:lvlRestart w:val="0"/>
      <w:pStyle w:val="i-lista"/>
      <w:lvlText w:val="(%9)"/>
      <w:lvlJc w:val="left"/>
      <w:pPr>
        <w:tabs>
          <w:tab w:val="num" w:pos="1928"/>
        </w:tabs>
        <w:ind w:left="1928" w:hanging="510"/>
      </w:pPr>
      <w:rPr>
        <w:rFonts w:hint="default"/>
      </w:rPr>
    </w:lvl>
  </w:abstractNum>
  <w:abstractNum w:abstractNumId="8" w15:restartNumberingAfterBreak="0">
    <w:nsid w:val="657E544F"/>
    <w:multiLevelType w:val="hybridMultilevel"/>
    <w:tmpl w:val="358460F6"/>
    <w:lvl w:ilvl="0" w:tplc="BEB2326E">
      <w:start w:val="1"/>
      <w:numFmt w:val="bullet"/>
      <w:lvlText w:val=""/>
      <w:lvlJc w:val="left"/>
      <w:pPr>
        <w:tabs>
          <w:tab w:val="num" w:pos="720"/>
        </w:tabs>
        <w:ind w:left="720" w:hanging="360"/>
      </w:pPr>
      <w:rPr>
        <w:rFonts w:ascii="Symbol" w:hAnsi="Symbol" w:hint="default"/>
      </w:rPr>
    </w:lvl>
    <w:lvl w:ilvl="1" w:tplc="3364FBAA" w:tentative="1">
      <w:start w:val="1"/>
      <w:numFmt w:val="bullet"/>
      <w:lvlText w:val="o"/>
      <w:lvlJc w:val="left"/>
      <w:pPr>
        <w:tabs>
          <w:tab w:val="num" w:pos="1440"/>
        </w:tabs>
        <w:ind w:left="1440" w:hanging="360"/>
      </w:pPr>
      <w:rPr>
        <w:rFonts w:ascii="Courier New" w:hAnsi="Courier New" w:hint="default"/>
      </w:rPr>
    </w:lvl>
    <w:lvl w:ilvl="2" w:tplc="610EDE52" w:tentative="1">
      <w:start w:val="1"/>
      <w:numFmt w:val="bullet"/>
      <w:lvlText w:val=""/>
      <w:lvlJc w:val="left"/>
      <w:pPr>
        <w:tabs>
          <w:tab w:val="num" w:pos="2160"/>
        </w:tabs>
        <w:ind w:left="2160" w:hanging="360"/>
      </w:pPr>
      <w:rPr>
        <w:rFonts w:ascii="Wingdings" w:hAnsi="Wingdings" w:hint="default"/>
      </w:rPr>
    </w:lvl>
    <w:lvl w:ilvl="3" w:tplc="9D101B4E" w:tentative="1">
      <w:start w:val="1"/>
      <w:numFmt w:val="bullet"/>
      <w:lvlText w:val=""/>
      <w:lvlJc w:val="left"/>
      <w:pPr>
        <w:tabs>
          <w:tab w:val="num" w:pos="2880"/>
        </w:tabs>
        <w:ind w:left="2880" w:hanging="360"/>
      </w:pPr>
      <w:rPr>
        <w:rFonts w:ascii="Symbol" w:hAnsi="Symbol" w:hint="default"/>
      </w:rPr>
    </w:lvl>
    <w:lvl w:ilvl="4" w:tplc="C80CF430" w:tentative="1">
      <w:start w:val="1"/>
      <w:numFmt w:val="bullet"/>
      <w:lvlText w:val="o"/>
      <w:lvlJc w:val="left"/>
      <w:pPr>
        <w:tabs>
          <w:tab w:val="num" w:pos="3600"/>
        </w:tabs>
        <w:ind w:left="3600" w:hanging="360"/>
      </w:pPr>
      <w:rPr>
        <w:rFonts w:ascii="Courier New" w:hAnsi="Courier New" w:hint="default"/>
      </w:rPr>
    </w:lvl>
    <w:lvl w:ilvl="5" w:tplc="9270379E" w:tentative="1">
      <w:start w:val="1"/>
      <w:numFmt w:val="bullet"/>
      <w:lvlText w:val=""/>
      <w:lvlJc w:val="left"/>
      <w:pPr>
        <w:tabs>
          <w:tab w:val="num" w:pos="4320"/>
        </w:tabs>
        <w:ind w:left="4320" w:hanging="360"/>
      </w:pPr>
      <w:rPr>
        <w:rFonts w:ascii="Wingdings" w:hAnsi="Wingdings" w:hint="default"/>
      </w:rPr>
    </w:lvl>
    <w:lvl w:ilvl="6" w:tplc="1226B1F6" w:tentative="1">
      <w:start w:val="1"/>
      <w:numFmt w:val="bullet"/>
      <w:lvlText w:val=""/>
      <w:lvlJc w:val="left"/>
      <w:pPr>
        <w:tabs>
          <w:tab w:val="num" w:pos="5040"/>
        </w:tabs>
        <w:ind w:left="5040" w:hanging="360"/>
      </w:pPr>
      <w:rPr>
        <w:rFonts w:ascii="Symbol" w:hAnsi="Symbol" w:hint="default"/>
      </w:rPr>
    </w:lvl>
    <w:lvl w:ilvl="7" w:tplc="BFBC018E" w:tentative="1">
      <w:start w:val="1"/>
      <w:numFmt w:val="bullet"/>
      <w:lvlText w:val="o"/>
      <w:lvlJc w:val="left"/>
      <w:pPr>
        <w:tabs>
          <w:tab w:val="num" w:pos="5760"/>
        </w:tabs>
        <w:ind w:left="5760" w:hanging="360"/>
      </w:pPr>
      <w:rPr>
        <w:rFonts w:ascii="Courier New" w:hAnsi="Courier New" w:hint="default"/>
      </w:rPr>
    </w:lvl>
    <w:lvl w:ilvl="8" w:tplc="1BB8BD3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64B0F8A"/>
    <w:multiLevelType w:val="multilevel"/>
    <w:tmpl w:val="08B45568"/>
    <w:styleLink w:val="SetterwallsTabellnumrering"/>
    <w:lvl w:ilvl="0">
      <w:start w:val="1"/>
      <w:numFmt w:val="decimal"/>
      <w:pStyle w:val="Nr-RubrikTabell"/>
      <w:lvlText w:val="%1."/>
      <w:lvlJc w:val="left"/>
      <w:pPr>
        <w:tabs>
          <w:tab w:val="num" w:pos="510"/>
        </w:tabs>
        <w:ind w:left="510" w:hanging="510"/>
      </w:pPr>
      <w:rPr>
        <w:rFonts w:hint="default"/>
      </w:rPr>
    </w:lvl>
    <w:lvl w:ilvl="1">
      <w:start w:val="1"/>
      <w:numFmt w:val="decimal"/>
      <w:pStyle w:val="Styckenr11Tabell"/>
      <w:lvlText w:val="%1.%2"/>
      <w:lvlJc w:val="left"/>
      <w:pPr>
        <w:tabs>
          <w:tab w:val="num" w:pos="510"/>
        </w:tabs>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67A206D0"/>
    <w:multiLevelType w:val="multilevel"/>
    <w:tmpl w:val="A7641D30"/>
    <w:numStyleLink w:val="Setterwallsnumrering"/>
  </w:abstractNum>
  <w:abstractNum w:abstractNumId="11" w15:restartNumberingAfterBreak="0">
    <w:nsid w:val="6BD81CBE"/>
    <w:multiLevelType w:val="multilevel"/>
    <w:tmpl w:val="324CE050"/>
    <w:styleLink w:val="SetterwallsNumreradlista"/>
    <w:lvl w:ilvl="0">
      <w:start w:val="1"/>
      <w:numFmt w:val="decimal"/>
      <w:pStyle w:val="ListNumber"/>
      <w:lvlText w:val="%1."/>
      <w:lvlJc w:val="left"/>
      <w:pPr>
        <w:tabs>
          <w:tab w:val="num" w:pos="907"/>
        </w:tabs>
        <w:ind w:left="907" w:hanging="90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6DEA76AF"/>
    <w:multiLevelType w:val="multilevel"/>
    <w:tmpl w:val="08B45568"/>
    <w:numStyleLink w:val="SetterwallsTabellnumrering"/>
  </w:abstractNum>
  <w:num w:numId="1" w16cid:durableId="1351486325">
    <w:abstractNumId w:val="6"/>
  </w:num>
  <w:num w:numId="2" w16cid:durableId="2107385482">
    <w:abstractNumId w:val="6"/>
  </w:num>
  <w:num w:numId="3" w16cid:durableId="1574897221">
    <w:abstractNumId w:val="7"/>
  </w:num>
  <w:num w:numId="4" w16cid:durableId="1163664887">
    <w:abstractNumId w:val="6"/>
  </w:num>
  <w:num w:numId="5" w16cid:durableId="748231400">
    <w:abstractNumId w:val="6"/>
  </w:num>
  <w:num w:numId="6" w16cid:durableId="800077584">
    <w:abstractNumId w:val="6"/>
  </w:num>
  <w:num w:numId="7" w16cid:durableId="138498741">
    <w:abstractNumId w:val="0"/>
  </w:num>
  <w:num w:numId="8" w16cid:durableId="2040005469">
    <w:abstractNumId w:val="6"/>
  </w:num>
  <w:num w:numId="9" w16cid:durableId="367991282">
    <w:abstractNumId w:val="6"/>
  </w:num>
  <w:num w:numId="10" w16cid:durableId="483157605">
    <w:abstractNumId w:val="6"/>
  </w:num>
  <w:num w:numId="11" w16cid:durableId="980884221">
    <w:abstractNumId w:val="4"/>
  </w:num>
  <w:num w:numId="12" w16cid:durableId="720977109">
    <w:abstractNumId w:val="6"/>
  </w:num>
  <w:num w:numId="13" w16cid:durableId="367724774">
    <w:abstractNumId w:val="10"/>
  </w:num>
  <w:num w:numId="14" w16cid:durableId="1578780228">
    <w:abstractNumId w:val="10"/>
  </w:num>
  <w:num w:numId="15" w16cid:durableId="1507162441">
    <w:abstractNumId w:val="10"/>
  </w:num>
  <w:num w:numId="16" w16cid:durableId="1022436067">
    <w:abstractNumId w:val="10"/>
  </w:num>
  <w:num w:numId="17" w16cid:durableId="616759319">
    <w:abstractNumId w:val="10"/>
  </w:num>
  <w:num w:numId="18" w16cid:durableId="1427186972">
    <w:abstractNumId w:val="10"/>
  </w:num>
  <w:num w:numId="19" w16cid:durableId="653535135">
    <w:abstractNumId w:val="10"/>
  </w:num>
  <w:num w:numId="20" w16cid:durableId="511801033">
    <w:abstractNumId w:val="10"/>
  </w:num>
  <w:num w:numId="21" w16cid:durableId="1202547326">
    <w:abstractNumId w:val="4"/>
  </w:num>
  <w:num w:numId="22" w16cid:durableId="971406529">
    <w:abstractNumId w:val="10"/>
  </w:num>
  <w:num w:numId="23" w16cid:durableId="141194828">
    <w:abstractNumId w:val="10"/>
  </w:num>
  <w:num w:numId="24" w16cid:durableId="1507018834">
    <w:abstractNumId w:val="10"/>
  </w:num>
  <w:num w:numId="25" w16cid:durableId="1105073389">
    <w:abstractNumId w:val="10"/>
  </w:num>
  <w:num w:numId="26" w16cid:durableId="697513856">
    <w:abstractNumId w:val="10"/>
  </w:num>
  <w:num w:numId="27" w16cid:durableId="1372341485">
    <w:abstractNumId w:val="10"/>
  </w:num>
  <w:num w:numId="28" w16cid:durableId="790124242">
    <w:abstractNumId w:val="4"/>
  </w:num>
  <w:num w:numId="29" w16cid:durableId="5443076">
    <w:abstractNumId w:val="4"/>
  </w:num>
  <w:num w:numId="30" w16cid:durableId="713311671">
    <w:abstractNumId w:val="5"/>
  </w:num>
  <w:num w:numId="31" w16cid:durableId="1158425566">
    <w:abstractNumId w:val="11"/>
  </w:num>
  <w:num w:numId="32" w16cid:durableId="941107611">
    <w:abstractNumId w:val="1"/>
  </w:num>
  <w:num w:numId="33" w16cid:durableId="115685637">
    <w:abstractNumId w:val="9"/>
  </w:num>
  <w:num w:numId="34" w16cid:durableId="1538659367">
    <w:abstractNumId w:val="1"/>
  </w:num>
  <w:num w:numId="35" w16cid:durableId="1475876484">
    <w:abstractNumId w:val="12"/>
  </w:num>
  <w:num w:numId="36" w16cid:durableId="547646351">
    <w:abstractNumId w:val="9"/>
  </w:num>
  <w:num w:numId="37" w16cid:durableId="1556816550">
    <w:abstractNumId w:val="12"/>
  </w:num>
  <w:num w:numId="38" w16cid:durableId="408386665">
    <w:abstractNumId w:val="3"/>
  </w:num>
  <w:num w:numId="39" w16cid:durableId="678511179">
    <w:abstractNumId w:val="8"/>
  </w:num>
  <w:num w:numId="40" w16cid:durableId="11951183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5F3"/>
    <w:rsid w:val="00006AB1"/>
    <w:rsid w:val="000111B5"/>
    <w:rsid w:val="0002157D"/>
    <w:rsid w:val="00031DC0"/>
    <w:rsid w:val="00037B33"/>
    <w:rsid w:val="00052C93"/>
    <w:rsid w:val="00054736"/>
    <w:rsid w:val="00055C6D"/>
    <w:rsid w:val="000753D8"/>
    <w:rsid w:val="0008285D"/>
    <w:rsid w:val="00085DE6"/>
    <w:rsid w:val="00096B84"/>
    <w:rsid w:val="000A0218"/>
    <w:rsid w:val="000C1104"/>
    <w:rsid w:val="000D654A"/>
    <w:rsid w:val="000F3D64"/>
    <w:rsid w:val="00112BF7"/>
    <w:rsid w:val="00113809"/>
    <w:rsid w:val="00117772"/>
    <w:rsid w:val="001229CB"/>
    <w:rsid w:val="001424A1"/>
    <w:rsid w:val="00163247"/>
    <w:rsid w:val="00171879"/>
    <w:rsid w:val="001873C0"/>
    <w:rsid w:val="001A562E"/>
    <w:rsid w:val="001A6602"/>
    <w:rsid w:val="001B029F"/>
    <w:rsid w:val="001B66F4"/>
    <w:rsid w:val="001D6475"/>
    <w:rsid w:val="001E6038"/>
    <w:rsid w:val="001F0102"/>
    <w:rsid w:val="001F1F10"/>
    <w:rsid w:val="001F4C9F"/>
    <w:rsid w:val="001F582B"/>
    <w:rsid w:val="00217CB1"/>
    <w:rsid w:val="00226273"/>
    <w:rsid w:val="00262D8F"/>
    <w:rsid w:val="00286610"/>
    <w:rsid w:val="002A7F6D"/>
    <w:rsid w:val="002C01B6"/>
    <w:rsid w:val="002C1C3E"/>
    <w:rsid w:val="002C226F"/>
    <w:rsid w:val="002E5C0E"/>
    <w:rsid w:val="002E655E"/>
    <w:rsid w:val="002F572B"/>
    <w:rsid w:val="0030559A"/>
    <w:rsid w:val="00315A07"/>
    <w:rsid w:val="00326400"/>
    <w:rsid w:val="003558C0"/>
    <w:rsid w:val="00360D5F"/>
    <w:rsid w:val="00372FA2"/>
    <w:rsid w:val="003A21B1"/>
    <w:rsid w:val="003C4D35"/>
    <w:rsid w:val="003C7A54"/>
    <w:rsid w:val="003D3016"/>
    <w:rsid w:val="003D39D2"/>
    <w:rsid w:val="003D5B89"/>
    <w:rsid w:val="003D65F3"/>
    <w:rsid w:val="00422E4A"/>
    <w:rsid w:val="004549AA"/>
    <w:rsid w:val="00484C4E"/>
    <w:rsid w:val="0048643B"/>
    <w:rsid w:val="00490E31"/>
    <w:rsid w:val="00495846"/>
    <w:rsid w:val="004B2586"/>
    <w:rsid w:val="004D1C38"/>
    <w:rsid w:val="004D3C23"/>
    <w:rsid w:val="0055045D"/>
    <w:rsid w:val="0055238E"/>
    <w:rsid w:val="00563A9A"/>
    <w:rsid w:val="00583565"/>
    <w:rsid w:val="00584336"/>
    <w:rsid w:val="0059718F"/>
    <w:rsid w:val="005B4E70"/>
    <w:rsid w:val="005C2EDF"/>
    <w:rsid w:val="00632FA3"/>
    <w:rsid w:val="00637A25"/>
    <w:rsid w:val="0065212D"/>
    <w:rsid w:val="00662863"/>
    <w:rsid w:val="006637B1"/>
    <w:rsid w:val="0066735E"/>
    <w:rsid w:val="00671115"/>
    <w:rsid w:val="00675CAD"/>
    <w:rsid w:val="00681602"/>
    <w:rsid w:val="0068555E"/>
    <w:rsid w:val="00685BB7"/>
    <w:rsid w:val="00686580"/>
    <w:rsid w:val="00687D67"/>
    <w:rsid w:val="00694C3B"/>
    <w:rsid w:val="006A13E3"/>
    <w:rsid w:val="006C5183"/>
    <w:rsid w:val="006D01C6"/>
    <w:rsid w:val="006D753B"/>
    <w:rsid w:val="006E4E07"/>
    <w:rsid w:val="006F24BC"/>
    <w:rsid w:val="00703CA3"/>
    <w:rsid w:val="00721C15"/>
    <w:rsid w:val="00722C0E"/>
    <w:rsid w:val="0074694C"/>
    <w:rsid w:val="007B1CD1"/>
    <w:rsid w:val="007B29EF"/>
    <w:rsid w:val="007B2A62"/>
    <w:rsid w:val="007B3CF5"/>
    <w:rsid w:val="007C3FA3"/>
    <w:rsid w:val="007C6EC0"/>
    <w:rsid w:val="007D357F"/>
    <w:rsid w:val="007D63A5"/>
    <w:rsid w:val="007E2E7A"/>
    <w:rsid w:val="007E305F"/>
    <w:rsid w:val="007E5E8E"/>
    <w:rsid w:val="00806305"/>
    <w:rsid w:val="008114C8"/>
    <w:rsid w:val="00833A26"/>
    <w:rsid w:val="00851CED"/>
    <w:rsid w:val="00853854"/>
    <w:rsid w:val="008557C4"/>
    <w:rsid w:val="008634EE"/>
    <w:rsid w:val="00883E16"/>
    <w:rsid w:val="00886B35"/>
    <w:rsid w:val="008E3F3B"/>
    <w:rsid w:val="008F49A9"/>
    <w:rsid w:val="0091104A"/>
    <w:rsid w:val="009315B7"/>
    <w:rsid w:val="00987E95"/>
    <w:rsid w:val="009A1B48"/>
    <w:rsid w:val="009A74C2"/>
    <w:rsid w:val="009B658C"/>
    <w:rsid w:val="009C1DEB"/>
    <w:rsid w:val="009E0233"/>
    <w:rsid w:val="00A25FA7"/>
    <w:rsid w:val="00A45C9D"/>
    <w:rsid w:val="00A50423"/>
    <w:rsid w:val="00A5272E"/>
    <w:rsid w:val="00A83531"/>
    <w:rsid w:val="00A8443C"/>
    <w:rsid w:val="00AD0EE7"/>
    <w:rsid w:val="00AD4D36"/>
    <w:rsid w:val="00AE31CF"/>
    <w:rsid w:val="00B052F4"/>
    <w:rsid w:val="00B2269C"/>
    <w:rsid w:val="00B449A7"/>
    <w:rsid w:val="00B6059D"/>
    <w:rsid w:val="00B62554"/>
    <w:rsid w:val="00B63444"/>
    <w:rsid w:val="00B66B48"/>
    <w:rsid w:val="00B81C5C"/>
    <w:rsid w:val="00B90537"/>
    <w:rsid w:val="00B92A23"/>
    <w:rsid w:val="00BA0DF7"/>
    <w:rsid w:val="00BB04A1"/>
    <w:rsid w:val="00BE2339"/>
    <w:rsid w:val="00C14035"/>
    <w:rsid w:val="00C43874"/>
    <w:rsid w:val="00C60510"/>
    <w:rsid w:val="00C732E1"/>
    <w:rsid w:val="00C82A80"/>
    <w:rsid w:val="00C93168"/>
    <w:rsid w:val="00CB1897"/>
    <w:rsid w:val="00CC1A6E"/>
    <w:rsid w:val="00CC2FA2"/>
    <w:rsid w:val="00CE0CA4"/>
    <w:rsid w:val="00CE37DB"/>
    <w:rsid w:val="00D03DEE"/>
    <w:rsid w:val="00D06366"/>
    <w:rsid w:val="00D3054D"/>
    <w:rsid w:val="00D52538"/>
    <w:rsid w:val="00D53D6F"/>
    <w:rsid w:val="00D73461"/>
    <w:rsid w:val="00D918CE"/>
    <w:rsid w:val="00DA264A"/>
    <w:rsid w:val="00DA3E62"/>
    <w:rsid w:val="00DA4EDB"/>
    <w:rsid w:val="00DA6E40"/>
    <w:rsid w:val="00DB78EC"/>
    <w:rsid w:val="00DD2003"/>
    <w:rsid w:val="00DD7363"/>
    <w:rsid w:val="00E15BC1"/>
    <w:rsid w:val="00E20FB4"/>
    <w:rsid w:val="00E32389"/>
    <w:rsid w:val="00E515F8"/>
    <w:rsid w:val="00E62C63"/>
    <w:rsid w:val="00E63ECC"/>
    <w:rsid w:val="00E65825"/>
    <w:rsid w:val="00E876C9"/>
    <w:rsid w:val="00E906FC"/>
    <w:rsid w:val="00E9085C"/>
    <w:rsid w:val="00E91FF4"/>
    <w:rsid w:val="00EA5064"/>
    <w:rsid w:val="00EB6DC7"/>
    <w:rsid w:val="00F04EA1"/>
    <w:rsid w:val="00F13FA4"/>
    <w:rsid w:val="00F33027"/>
    <w:rsid w:val="00F4076C"/>
    <w:rsid w:val="00F409C3"/>
    <w:rsid w:val="00F4587E"/>
    <w:rsid w:val="00F732A6"/>
    <w:rsid w:val="00F8323B"/>
    <w:rsid w:val="00F86EA8"/>
    <w:rsid w:val="00F96887"/>
    <w:rsid w:val="00FB3A54"/>
    <w:rsid w:val="00FC7718"/>
    <w:rsid w:val="00FE349C"/>
    <w:rsid w:val="00FE5A67"/>
    <w:rsid w:val="00FE707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386B8"/>
  <w15:chartTrackingRefBased/>
  <w15:docId w15:val="{0427F812-C864-474B-AF84-FFFC3F218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1"/>
        <w:szCs w:val="21"/>
        <w:lang w:val="sv-SE" w:eastAsia="en-US" w:bidi="ar-SA"/>
      </w:rPr>
    </w:rPrDefault>
    <w:pPrDefault>
      <w:pPr>
        <w:spacing w:after="120" w:line="280" w:lineRule="atLeast"/>
      </w:pPr>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semiHidden="1" w:uiPriority="39"/>
    <w:lsdException w:name="toc 7" w:semiHidden="1" w:uiPriority="39"/>
    <w:lsdException w:name="toc 8" w:semiHidden="1" w:uiPriority="39"/>
    <w:lsdException w:name="toc 9" w:semiHidden="1" w:uiPriority="39"/>
    <w:lsdException w:name="Normal Indent" w:uiPriority="0"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3"/>
    <w:lsdException w:name="List Number" w:uiPriority="3"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10"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65F3"/>
    <w:pPr>
      <w:keepLines/>
      <w:tabs>
        <w:tab w:val="left" w:pos="397"/>
      </w:tabs>
      <w:spacing w:before="120" w:after="60" w:line="240" w:lineRule="auto"/>
      <w:jc w:val="both"/>
    </w:pPr>
    <w:rPr>
      <w:rFonts w:ascii="Verdana" w:eastAsia="Times New Roman" w:hAnsi="Verdana" w:cs="Times New Roman"/>
      <w:sz w:val="22"/>
      <w:szCs w:val="24"/>
      <w:lang w:val="en-GB" w:eastAsia="nl-NL"/>
    </w:rPr>
  </w:style>
  <w:style w:type="paragraph" w:styleId="Heading1">
    <w:name w:val="heading 1"/>
    <w:basedOn w:val="Normal"/>
    <w:next w:val="Normal"/>
    <w:link w:val="Heading1Char"/>
    <w:uiPriority w:val="9"/>
    <w:semiHidden/>
    <w:qFormat/>
    <w:rsid w:val="000A0218"/>
    <w:pPr>
      <w:keepNext/>
      <w:spacing w:before="320"/>
      <w:outlineLvl w:val="0"/>
    </w:pPr>
    <w:rPr>
      <w:rFonts w:asciiTheme="majorHAnsi" w:eastAsiaTheme="majorEastAsia" w:hAnsiTheme="majorHAnsi" w:cstheme="majorBidi"/>
      <w:b/>
      <w:szCs w:val="32"/>
    </w:rPr>
  </w:style>
  <w:style w:type="paragraph" w:styleId="Heading2">
    <w:name w:val="heading 2"/>
    <w:basedOn w:val="Normal"/>
    <w:next w:val="Normal"/>
    <w:link w:val="Heading2Char"/>
    <w:uiPriority w:val="9"/>
    <w:semiHidden/>
    <w:qFormat/>
    <w:rsid w:val="000A0218"/>
    <w:pPr>
      <w:keepNext/>
      <w:spacing w:before="280"/>
      <w:outlineLvl w:val="1"/>
    </w:pPr>
    <w:rPr>
      <w:rFonts w:asciiTheme="majorHAnsi" w:eastAsiaTheme="majorEastAsia" w:hAnsiTheme="majorHAnsi" w:cstheme="majorBidi"/>
      <w:b/>
      <w:sz w:val="20"/>
      <w:szCs w:val="26"/>
    </w:rPr>
  </w:style>
  <w:style w:type="paragraph" w:styleId="Heading3">
    <w:name w:val="heading 3"/>
    <w:basedOn w:val="Normal"/>
    <w:next w:val="Normal"/>
    <w:link w:val="Heading3Char"/>
    <w:uiPriority w:val="9"/>
    <w:semiHidden/>
    <w:qFormat/>
    <w:rsid w:val="00687D67"/>
    <w:pPr>
      <w:keepNext/>
      <w:outlineLvl w:val="2"/>
    </w:pPr>
    <w:rPr>
      <w:rFonts w:asciiTheme="majorHAnsi" w:eastAsiaTheme="majorEastAsia" w:hAnsiTheme="majorHAnsi" w:cstheme="majorBid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r-Rubrik1">
    <w:name w:val="Nr-Rubrik1"/>
    <w:basedOn w:val="Heading1"/>
    <w:next w:val="NormalIndent"/>
    <w:link w:val="Nr-Rubrik1Char"/>
    <w:uiPriority w:val="1"/>
    <w:qFormat/>
    <w:rsid w:val="000B5533"/>
    <w:pPr>
      <w:keepLines w:val="0"/>
      <w:numPr>
        <w:numId w:val="27"/>
      </w:numPr>
      <w:spacing w:before="0"/>
    </w:pPr>
  </w:style>
  <w:style w:type="paragraph" w:customStyle="1" w:styleId="Nr-Rubrik2">
    <w:name w:val="Nr-Rubrik2"/>
    <w:basedOn w:val="Heading2"/>
    <w:next w:val="NormalIndent"/>
    <w:link w:val="Nr-Rubrik2Char"/>
    <w:uiPriority w:val="1"/>
    <w:qFormat/>
    <w:rsid w:val="000B5533"/>
    <w:pPr>
      <w:keepLines w:val="0"/>
      <w:numPr>
        <w:ilvl w:val="1"/>
        <w:numId w:val="27"/>
      </w:numPr>
      <w:tabs>
        <w:tab w:val="clear" w:pos="907"/>
        <w:tab w:val="num" w:pos="360"/>
      </w:tabs>
      <w:spacing w:before="0"/>
      <w:ind w:left="0" w:firstLine="0"/>
    </w:pPr>
  </w:style>
  <w:style w:type="character" w:customStyle="1" w:styleId="Nr-Rubrik1Char">
    <w:name w:val="Nr-Rubrik1 Char"/>
    <w:basedOn w:val="DefaultParagraphFont"/>
    <w:link w:val="Nr-Rubrik1"/>
    <w:uiPriority w:val="1"/>
    <w:rsid w:val="00735BA1"/>
    <w:rPr>
      <w:rFonts w:asciiTheme="majorHAnsi" w:eastAsiaTheme="majorEastAsia" w:hAnsiTheme="majorHAnsi" w:cstheme="majorBidi"/>
      <w:b/>
      <w:szCs w:val="32"/>
    </w:rPr>
  </w:style>
  <w:style w:type="paragraph" w:customStyle="1" w:styleId="Nr-Rubrik3">
    <w:name w:val="Nr-Rubrik3"/>
    <w:basedOn w:val="Heading3"/>
    <w:next w:val="NormalIndent"/>
    <w:link w:val="Nr-Rubrik3Char"/>
    <w:uiPriority w:val="1"/>
    <w:qFormat/>
    <w:rsid w:val="000B5533"/>
    <w:pPr>
      <w:keepLines w:val="0"/>
      <w:numPr>
        <w:ilvl w:val="2"/>
        <w:numId w:val="27"/>
      </w:numPr>
    </w:pPr>
    <w:rPr>
      <w:b/>
      <w:sz w:val="19"/>
    </w:rPr>
  </w:style>
  <w:style w:type="paragraph" w:styleId="Header">
    <w:name w:val="header"/>
    <w:basedOn w:val="Normal"/>
    <w:link w:val="HeaderChar"/>
    <w:uiPriority w:val="99"/>
    <w:unhideWhenUsed/>
    <w:rsid w:val="00851CED"/>
    <w:pPr>
      <w:tabs>
        <w:tab w:val="center" w:pos="4536"/>
        <w:tab w:val="right" w:pos="9072"/>
      </w:tabs>
    </w:pPr>
    <w:rPr>
      <w:rFonts w:asciiTheme="majorHAnsi" w:hAnsiTheme="majorHAnsi"/>
      <w:sz w:val="14"/>
    </w:rPr>
  </w:style>
  <w:style w:type="character" w:customStyle="1" w:styleId="Nr-Rubrik2Char">
    <w:name w:val="Nr-Rubrik2 Char"/>
    <w:basedOn w:val="Nr-Rubrik1Char"/>
    <w:link w:val="Nr-Rubrik2"/>
    <w:uiPriority w:val="1"/>
    <w:rsid w:val="00735BA1"/>
    <w:rPr>
      <w:rFonts w:asciiTheme="majorHAnsi" w:eastAsiaTheme="majorEastAsia" w:hAnsiTheme="majorHAnsi" w:cstheme="majorBidi"/>
      <w:b/>
      <w:sz w:val="20"/>
      <w:szCs w:val="26"/>
    </w:rPr>
  </w:style>
  <w:style w:type="character" w:customStyle="1" w:styleId="Nr-Rubrik3Char">
    <w:name w:val="Nr-Rubrik3 Char"/>
    <w:basedOn w:val="Nr-Rubrik2Char"/>
    <w:link w:val="Nr-Rubrik3"/>
    <w:uiPriority w:val="1"/>
    <w:rsid w:val="00735BA1"/>
    <w:rPr>
      <w:rFonts w:asciiTheme="majorHAnsi" w:eastAsiaTheme="majorEastAsia" w:hAnsiTheme="majorHAnsi" w:cstheme="majorBidi"/>
      <w:b/>
      <w:sz w:val="19"/>
      <w:szCs w:val="24"/>
    </w:rPr>
  </w:style>
  <w:style w:type="character" w:customStyle="1" w:styleId="HeaderChar">
    <w:name w:val="Header Char"/>
    <w:basedOn w:val="DefaultParagraphFont"/>
    <w:link w:val="Header"/>
    <w:uiPriority w:val="99"/>
    <w:rsid w:val="00851CED"/>
    <w:rPr>
      <w:rFonts w:asciiTheme="majorHAnsi" w:hAnsiTheme="majorHAnsi"/>
      <w:sz w:val="14"/>
    </w:rPr>
  </w:style>
  <w:style w:type="paragraph" w:styleId="Footer">
    <w:name w:val="footer"/>
    <w:basedOn w:val="Normal"/>
    <w:link w:val="FooterChar"/>
    <w:uiPriority w:val="99"/>
    <w:unhideWhenUsed/>
    <w:rsid w:val="003A21B1"/>
    <w:pPr>
      <w:tabs>
        <w:tab w:val="center" w:pos="4536"/>
        <w:tab w:val="right" w:pos="9072"/>
      </w:tabs>
      <w:spacing w:after="0" w:line="210" w:lineRule="atLeast"/>
    </w:pPr>
    <w:rPr>
      <w:rFonts w:asciiTheme="majorHAnsi" w:hAnsiTheme="majorHAnsi"/>
      <w:caps/>
      <w:sz w:val="13"/>
    </w:rPr>
  </w:style>
  <w:style w:type="character" w:customStyle="1" w:styleId="FooterChar">
    <w:name w:val="Footer Char"/>
    <w:basedOn w:val="DefaultParagraphFont"/>
    <w:link w:val="Footer"/>
    <w:uiPriority w:val="99"/>
    <w:rsid w:val="003A21B1"/>
    <w:rPr>
      <w:rFonts w:asciiTheme="majorHAnsi" w:hAnsiTheme="majorHAnsi"/>
      <w:caps/>
      <w:sz w:val="13"/>
    </w:rPr>
  </w:style>
  <w:style w:type="paragraph" w:customStyle="1" w:styleId="Styckenr11">
    <w:name w:val="Styckenr 1.1"/>
    <w:basedOn w:val="Nr-Rubrik2"/>
    <w:uiPriority w:val="1"/>
    <w:qFormat/>
    <w:rsid w:val="00A83531"/>
    <w:pPr>
      <w:keepNext w:val="0"/>
      <w:outlineLvl w:val="9"/>
    </w:pPr>
    <w:rPr>
      <w:rFonts w:asciiTheme="minorHAnsi" w:hAnsiTheme="minorHAnsi"/>
      <w:b w:val="0"/>
      <w:sz w:val="21"/>
    </w:rPr>
  </w:style>
  <w:style w:type="paragraph" w:customStyle="1" w:styleId="Styckenr111">
    <w:name w:val="Styckenr 1.1.1"/>
    <w:basedOn w:val="Nr-Rubrik3"/>
    <w:uiPriority w:val="1"/>
    <w:qFormat/>
    <w:rsid w:val="00A83531"/>
    <w:pPr>
      <w:keepNext w:val="0"/>
      <w:outlineLvl w:val="9"/>
    </w:pPr>
    <w:rPr>
      <w:rFonts w:asciiTheme="minorHAnsi" w:hAnsiTheme="minorHAnsi"/>
      <w:b w:val="0"/>
      <w:sz w:val="21"/>
    </w:rPr>
  </w:style>
  <w:style w:type="paragraph" w:customStyle="1" w:styleId="Nr-Rubrik4">
    <w:name w:val="Nr-Rubrik4"/>
    <w:basedOn w:val="Normal"/>
    <w:uiPriority w:val="1"/>
    <w:semiHidden/>
    <w:qFormat/>
    <w:rsid w:val="000B5533"/>
    <w:pPr>
      <w:numPr>
        <w:ilvl w:val="3"/>
        <w:numId w:val="27"/>
      </w:numPr>
    </w:pPr>
    <w:rPr>
      <w:rFonts w:asciiTheme="majorHAnsi" w:hAnsiTheme="majorHAnsi"/>
      <w:b/>
      <w:sz w:val="19"/>
    </w:rPr>
  </w:style>
  <w:style w:type="paragraph" w:customStyle="1" w:styleId="a-lista">
    <w:name w:val="a-lista"/>
    <w:basedOn w:val="Normal"/>
    <w:uiPriority w:val="3"/>
    <w:qFormat/>
    <w:rsid w:val="00360D5F"/>
    <w:pPr>
      <w:numPr>
        <w:ilvl w:val="7"/>
        <w:numId w:val="27"/>
      </w:numPr>
      <w:ind w:left="1417" w:hanging="510"/>
    </w:pPr>
  </w:style>
  <w:style w:type="paragraph" w:customStyle="1" w:styleId="i-lista">
    <w:name w:val="i-lista"/>
    <w:basedOn w:val="Normal"/>
    <w:uiPriority w:val="3"/>
    <w:qFormat/>
    <w:rsid w:val="00360D5F"/>
    <w:pPr>
      <w:numPr>
        <w:ilvl w:val="8"/>
        <w:numId w:val="27"/>
      </w:numPr>
    </w:pPr>
  </w:style>
  <w:style w:type="paragraph" w:styleId="NormalIndent">
    <w:name w:val="Normal Indent"/>
    <w:basedOn w:val="Normal"/>
    <w:qFormat/>
    <w:rsid w:val="00EA5064"/>
    <w:pPr>
      <w:ind w:left="907"/>
    </w:pPr>
  </w:style>
  <w:style w:type="character" w:customStyle="1" w:styleId="Heading1Char">
    <w:name w:val="Heading 1 Char"/>
    <w:basedOn w:val="DefaultParagraphFont"/>
    <w:link w:val="Heading1"/>
    <w:uiPriority w:val="9"/>
    <w:semiHidden/>
    <w:rsid w:val="000A0218"/>
    <w:rPr>
      <w:rFonts w:asciiTheme="majorHAnsi" w:eastAsiaTheme="majorEastAsia" w:hAnsiTheme="majorHAnsi" w:cstheme="majorBidi"/>
      <w:b/>
      <w:sz w:val="21"/>
      <w:szCs w:val="32"/>
    </w:rPr>
  </w:style>
  <w:style w:type="character" w:customStyle="1" w:styleId="Heading2Char">
    <w:name w:val="Heading 2 Char"/>
    <w:basedOn w:val="DefaultParagraphFont"/>
    <w:link w:val="Heading2"/>
    <w:uiPriority w:val="9"/>
    <w:semiHidden/>
    <w:rsid w:val="000A0218"/>
    <w:rPr>
      <w:rFonts w:asciiTheme="majorHAnsi" w:eastAsiaTheme="majorEastAsia" w:hAnsiTheme="majorHAnsi" w:cstheme="majorBidi"/>
      <w:b/>
      <w:sz w:val="20"/>
      <w:szCs w:val="26"/>
    </w:rPr>
  </w:style>
  <w:style w:type="character" w:customStyle="1" w:styleId="Heading3Char">
    <w:name w:val="Heading 3 Char"/>
    <w:basedOn w:val="DefaultParagraphFont"/>
    <w:link w:val="Heading3"/>
    <w:uiPriority w:val="9"/>
    <w:semiHidden/>
    <w:rsid w:val="00687D67"/>
    <w:rPr>
      <w:rFonts w:asciiTheme="majorHAnsi" w:eastAsiaTheme="majorEastAsia" w:hAnsiTheme="majorHAnsi" w:cstheme="majorBidi"/>
      <w:sz w:val="20"/>
      <w:szCs w:val="24"/>
    </w:rPr>
  </w:style>
  <w:style w:type="numbering" w:customStyle="1" w:styleId="Setterwallsnumrering">
    <w:name w:val="Setterwalls numrering"/>
    <w:uiPriority w:val="99"/>
    <w:rsid w:val="000B5533"/>
    <w:pPr>
      <w:numPr>
        <w:numId w:val="3"/>
      </w:numPr>
    </w:pPr>
  </w:style>
  <w:style w:type="paragraph" w:styleId="ListParagraph">
    <w:name w:val="List Paragraph"/>
    <w:basedOn w:val="Normal"/>
    <w:uiPriority w:val="34"/>
    <w:semiHidden/>
    <w:qFormat/>
    <w:rsid w:val="00722C0E"/>
    <w:pPr>
      <w:ind w:left="720"/>
      <w:contextualSpacing/>
    </w:pPr>
  </w:style>
  <w:style w:type="paragraph" w:styleId="ListNumber">
    <w:name w:val="List Number"/>
    <w:basedOn w:val="Normal"/>
    <w:uiPriority w:val="3"/>
    <w:qFormat/>
    <w:rsid w:val="00FC7718"/>
    <w:pPr>
      <w:numPr>
        <w:numId w:val="31"/>
      </w:numPr>
    </w:pPr>
  </w:style>
  <w:style w:type="paragraph" w:styleId="TOC1">
    <w:name w:val="toc 1"/>
    <w:basedOn w:val="Normal"/>
    <w:next w:val="Normal"/>
    <w:autoRedefine/>
    <w:uiPriority w:val="39"/>
    <w:rsid w:val="00FE5A67"/>
    <w:pPr>
      <w:tabs>
        <w:tab w:val="left" w:pos="851"/>
        <w:tab w:val="right" w:leader="dot" w:pos="8392"/>
      </w:tabs>
      <w:spacing w:before="60" w:after="0"/>
      <w:ind w:left="851" w:hanging="851"/>
    </w:pPr>
    <w:rPr>
      <w:rFonts w:asciiTheme="majorHAnsi" w:hAnsiTheme="majorHAnsi"/>
      <w:b/>
    </w:rPr>
  </w:style>
  <w:style w:type="paragraph" w:styleId="TOC2">
    <w:name w:val="toc 2"/>
    <w:basedOn w:val="Normal"/>
    <w:next w:val="Normal"/>
    <w:autoRedefine/>
    <w:uiPriority w:val="39"/>
    <w:rsid w:val="00FE5A67"/>
    <w:pPr>
      <w:tabs>
        <w:tab w:val="left" w:pos="851"/>
        <w:tab w:val="right" w:leader="dot" w:pos="8392"/>
      </w:tabs>
      <w:spacing w:before="60" w:after="0"/>
      <w:ind w:left="851" w:hanging="851"/>
    </w:pPr>
    <w:rPr>
      <w:rFonts w:asciiTheme="majorHAnsi" w:hAnsiTheme="majorHAnsi"/>
    </w:rPr>
  </w:style>
  <w:style w:type="paragraph" w:styleId="TOC3">
    <w:name w:val="toc 3"/>
    <w:basedOn w:val="Normal"/>
    <w:next w:val="Normal"/>
    <w:autoRedefine/>
    <w:uiPriority w:val="39"/>
    <w:rsid w:val="00FE5A67"/>
    <w:pPr>
      <w:tabs>
        <w:tab w:val="left" w:pos="851"/>
        <w:tab w:val="right" w:leader="dot" w:pos="8392"/>
      </w:tabs>
      <w:spacing w:before="60" w:after="0"/>
      <w:ind w:left="851" w:hanging="851"/>
    </w:pPr>
    <w:rPr>
      <w:rFonts w:asciiTheme="majorHAnsi" w:hAnsiTheme="majorHAnsi"/>
    </w:rPr>
  </w:style>
  <w:style w:type="character" w:styleId="Hyperlink">
    <w:name w:val="Hyperlink"/>
    <w:basedOn w:val="DefaultParagraphFont"/>
    <w:uiPriority w:val="99"/>
    <w:unhideWhenUsed/>
    <w:rsid w:val="00687D67"/>
    <w:rPr>
      <w:color w:val="0563C1" w:themeColor="hyperlink"/>
      <w:u w:val="single"/>
    </w:rPr>
  </w:style>
  <w:style w:type="paragraph" w:styleId="ListBullet">
    <w:name w:val="List Bullet"/>
    <w:basedOn w:val="Normal"/>
    <w:uiPriority w:val="3"/>
    <w:rsid w:val="00F409C3"/>
    <w:pPr>
      <w:numPr>
        <w:numId w:val="7"/>
      </w:numPr>
      <w:tabs>
        <w:tab w:val="clear" w:pos="360"/>
        <w:tab w:val="left" w:pos="1474"/>
      </w:tabs>
      <w:ind w:left="1474" w:hanging="567"/>
    </w:pPr>
  </w:style>
  <w:style w:type="character" w:styleId="PlaceholderText">
    <w:name w:val="Placeholder Text"/>
    <w:basedOn w:val="DefaultParagraphFont"/>
    <w:uiPriority w:val="99"/>
    <w:semiHidden/>
    <w:rsid w:val="00D03DEE"/>
    <w:rPr>
      <w:color w:val="808080"/>
    </w:rPr>
  </w:style>
  <w:style w:type="paragraph" w:styleId="Title">
    <w:name w:val="Title"/>
    <w:basedOn w:val="Normal"/>
    <w:next w:val="Normal"/>
    <w:link w:val="TitleChar"/>
    <w:uiPriority w:val="1"/>
    <w:rsid w:val="003D39D2"/>
    <w:pPr>
      <w:contextualSpacing/>
    </w:pPr>
    <w:rPr>
      <w:rFonts w:asciiTheme="majorHAnsi" w:eastAsiaTheme="majorEastAsia" w:hAnsiTheme="majorHAnsi" w:cstheme="majorBidi"/>
      <w:b/>
      <w:spacing w:val="-10"/>
      <w:kern w:val="28"/>
      <w:szCs w:val="56"/>
    </w:rPr>
  </w:style>
  <w:style w:type="character" w:customStyle="1" w:styleId="TitleChar">
    <w:name w:val="Title Char"/>
    <w:basedOn w:val="DefaultParagraphFont"/>
    <w:link w:val="Title"/>
    <w:uiPriority w:val="1"/>
    <w:rsid w:val="003D39D2"/>
    <w:rPr>
      <w:rFonts w:asciiTheme="majorHAnsi" w:eastAsiaTheme="majorEastAsia" w:hAnsiTheme="majorHAnsi" w:cstheme="majorBidi"/>
      <w:b/>
      <w:spacing w:val="-10"/>
      <w:kern w:val="28"/>
      <w:szCs w:val="56"/>
    </w:rPr>
  </w:style>
  <w:style w:type="paragraph" w:customStyle="1" w:styleId="Adress">
    <w:name w:val="Adress"/>
    <w:basedOn w:val="Normal"/>
    <w:uiPriority w:val="10"/>
    <w:rsid w:val="00B90537"/>
    <w:pPr>
      <w:spacing w:after="0"/>
    </w:pPr>
    <w:rPr>
      <w:rFonts w:asciiTheme="majorHAnsi" w:hAnsiTheme="majorHAnsi"/>
      <w:sz w:val="20"/>
    </w:rPr>
  </w:style>
  <w:style w:type="paragraph" w:styleId="Quote">
    <w:name w:val="Quote"/>
    <w:basedOn w:val="Normal"/>
    <w:next w:val="Normal"/>
    <w:link w:val="QuoteChar"/>
    <w:uiPriority w:val="10"/>
    <w:qFormat/>
    <w:rsid w:val="00DA3E62"/>
    <w:pPr>
      <w:spacing w:line="240" w:lineRule="atLeast"/>
      <w:ind w:left="1418" w:right="1418"/>
    </w:pPr>
    <w:rPr>
      <w:i/>
      <w:iCs/>
      <w:color w:val="404040" w:themeColor="text1" w:themeTint="BF"/>
      <w:sz w:val="18"/>
    </w:rPr>
  </w:style>
  <w:style w:type="character" w:customStyle="1" w:styleId="QuoteChar">
    <w:name w:val="Quote Char"/>
    <w:basedOn w:val="DefaultParagraphFont"/>
    <w:link w:val="Quote"/>
    <w:uiPriority w:val="10"/>
    <w:rsid w:val="00DA3E62"/>
    <w:rPr>
      <w:i/>
      <w:iCs/>
      <w:color w:val="404040" w:themeColor="text1" w:themeTint="BF"/>
      <w:sz w:val="18"/>
    </w:rPr>
  </w:style>
  <w:style w:type="table" w:styleId="TableGrid">
    <w:name w:val="Table Grid"/>
    <w:basedOn w:val="TableNormal"/>
    <w:uiPriority w:val="39"/>
    <w:rsid w:val="006637B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ckenr1111">
    <w:name w:val="Styckenr 1.1.1.1"/>
    <w:basedOn w:val="Nr-Rubrik4"/>
    <w:uiPriority w:val="1"/>
    <w:qFormat/>
    <w:rsid w:val="004D1C38"/>
    <w:rPr>
      <w:rFonts w:asciiTheme="minorHAnsi" w:hAnsiTheme="minorHAnsi"/>
      <w:b w:val="0"/>
      <w:sz w:val="21"/>
    </w:rPr>
  </w:style>
  <w:style w:type="table" w:customStyle="1" w:styleId="Setterwalls1">
    <w:name w:val="Setterwalls 1"/>
    <w:basedOn w:val="TableNormal"/>
    <w:uiPriority w:val="99"/>
    <w:rsid w:val="001424A1"/>
    <w:pPr>
      <w:spacing w:before="40" w:after="20"/>
    </w:pPr>
    <w:tblPr>
      <w:tblStyleRowBandSize w:val="1"/>
      <w:tblBorders>
        <w:top w:val="single" w:sz="4" w:space="0" w:color="041C2C" w:themeColor="accent1"/>
        <w:left w:val="single" w:sz="4" w:space="0" w:color="041C2C" w:themeColor="accent1"/>
        <w:bottom w:val="single" w:sz="4" w:space="0" w:color="041C2C" w:themeColor="accent1"/>
        <w:right w:val="single" w:sz="4" w:space="0" w:color="041C2C" w:themeColor="accent1"/>
        <w:insideH w:val="single" w:sz="4" w:space="0" w:color="041C2C" w:themeColor="accent1"/>
        <w:insideV w:val="single" w:sz="4" w:space="0" w:color="041C2C" w:themeColor="accent1"/>
      </w:tblBorders>
      <w:tblCellMar>
        <w:top w:w="28" w:type="dxa"/>
        <w:left w:w="85" w:type="dxa"/>
        <w:bottom w:w="28" w:type="dxa"/>
        <w:right w:w="85" w:type="dxa"/>
      </w:tblCellMar>
    </w:tblPr>
    <w:tblStylePr w:type="firstRow">
      <w:rPr>
        <w:rFonts w:asciiTheme="majorHAnsi" w:hAnsiTheme="majorHAnsi"/>
        <w:b w:val="0"/>
        <w:sz w:val="21"/>
      </w:rPr>
      <w:tblPr/>
      <w:tcPr>
        <w:tcBorders>
          <w:bottom w:val="single" w:sz="4" w:space="0" w:color="041C2C" w:themeColor="accent1"/>
        </w:tcBorders>
      </w:tcPr>
    </w:tblStylePr>
    <w:tblStylePr w:type="lastRow">
      <w:tblPr/>
      <w:tcPr>
        <w:tcBorders>
          <w:top w:val="single" w:sz="4" w:space="0" w:color="041C2C" w:themeColor="accent1"/>
        </w:tcBorders>
      </w:tcPr>
    </w:tblStylePr>
    <w:tblStylePr w:type="firstCol">
      <w:rPr>
        <w:rFonts w:asciiTheme="majorHAnsi" w:hAnsiTheme="majorHAnsi"/>
        <w:b w:val="0"/>
        <w:sz w:val="21"/>
      </w:rPr>
      <w:tblPr/>
      <w:tcPr>
        <w:tcBorders>
          <w:right w:val="single" w:sz="4" w:space="0" w:color="041C2C" w:themeColor="accent1"/>
        </w:tcBorders>
      </w:tcPr>
    </w:tblStylePr>
    <w:tblStylePr w:type="band1Horz">
      <w:tblPr/>
      <w:tcPr>
        <w:shd w:val="clear" w:color="auto" w:fill="E2E2E2" w:themeFill="accent6" w:themeFillTint="33"/>
      </w:tcPr>
    </w:tblStylePr>
  </w:style>
  <w:style w:type="table" w:customStyle="1" w:styleId="Setterwalls2">
    <w:name w:val="Setterwalls 2"/>
    <w:basedOn w:val="TableNormal"/>
    <w:uiPriority w:val="99"/>
    <w:rsid w:val="001424A1"/>
    <w:pPr>
      <w:spacing w:before="40" w:after="20"/>
    </w:pPr>
    <w:tblPr>
      <w:tblStyleRowBandSize w:val="1"/>
      <w:tblCellMar>
        <w:top w:w="28" w:type="dxa"/>
        <w:left w:w="85" w:type="dxa"/>
        <w:bottom w:w="28" w:type="dxa"/>
        <w:right w:w="85" w:type="dxa"/>
      </w:tblCellMar>
    </w:tblPr>
    <w:tblStylePr w:type="firstRow">
      <w:rPr>
        <w:rFonts w:asciiTheme="majorHAnsi" w:hAnsiTheme="majorHAnsi"/>
        <w:b w:val="0"/>
        <w:sz w:val="21"/>
      </w:rPr>
      <w:tblPr/>
      <w:tcPr>
        <w:tcBorders>
          <w:bottom w:val="single" w:sz="4" w:space="0" w:color="041C2C" w:themeColor="accent1"/>
        </w:tcBorders>
      </w:tcPr>
    </w:tblStylePr>
    <w:tblStylePr w:type="lastRow">
      <w:tblPr/>
      <w:tcPr>
        <w:tcBorders>
          <w:top w:val="single" w:sz="4" w:space="0" w:color="041C2C" w:themeColor="accent1"/>
        </w:tcBorders>
      </w:tcPr>
    </w:tblStylePr>
    <w:tblStylePr w:type="firstCol">
      <w:rPr>
        <w:rFonts w:asciiTheme="majorHAnsi" w:hAnsiTheme="majorHAnsi"/>
        <w:b w:val="0"/>
        <w:sz w:val="21"/>
      </w:rPr>
      <w:tblPr/>
      <w:tcPr>
        <w:tcBorders>
          <w:right w:val="single" w:sz="4" w:space="0" w:color="041C2C" w:themeColor="accent1"/>
        </w:tcBorders>
      </w:tcPr>
    </w:tblStylePr>
    <w:tblStylePr w:type="band1Horz">
      <w:tblPr/>
      <w:tcPr>
        <w:shd w:val="clear" w:color="auto" w:fill="E2E2E2" w:themeFill="accent6" w:themeFillTint="33"/>
      </w:tcPr>
    </w:tblStylePr>
    <w:tblStylePr w:type="nwCell">
      <w:tblPr/>
      <w:tcPr>
        <w:tcBorders>
          <w:right w:val="nil"/>
        </w:tcBorders>
      </w:tcPr>
    </w:tblStylePr>
    <w:tblStylePr w:type="swCell">
      <w:tblPr/>
      <w:tcPr>
        <w:tcBorders>
          <w:right w:val="nil"/>
        </w:tcBorders>
      </w:tcPr>
    </w:tblStylePr>
  </w:style>
  <w:style w:type="table" w:styleId="PlainTable3">
    <w:name w:val="Plain Table 3"/>
    <w:basedOn w:val="TableNormal"/>
    <w:uiPriority w:val="43"/>
    <w:rsid w:val="00C43874"/>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Setterwalls3">
    <w:name w:val="Setterwalls 3"/>
    <w:basedOn w:val="TableNormal"/>
    <w:uiPriority w:val="99"/>
    <w:rsid w:val="001424A1"/>
    <w:pPr>
      <w:spacing w:before="40" w:after="20"/>
    </w:pPr>
    <w:tblPr>
      <w:tblStyleRow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28" w:type="dxa"/>
        <w:left w:w="85" w:type="dxa"/>
        <w:bottom w:w="28" w:type="dxa"/>
        <w:right w:w="85" w:type="dxa"/>
      </w:tblCellMar>
    </w:tblPr>
    <w:tblStylePr w:type="firstRow">
      <w:rPr>
        <w:rFonts w:asciiTheme="majorHAnsi" w:hAnsiTheme="majorHAnsi"/>
        <w:b w:val="0"/>
        <w:color w:val="FFFFFF" w:themeColor="background1"/>
        <w:sz w:val="21"/>
      </w:rPr>
      <w:tblPr/>
      <w:tcPr>
        <w:shd w:val="clear" w:color="auto" w:fill="000000" w:themeFill="text1"/>
      </w:tcPr>
    </w:tblStylePr>
    <w:tblStylePr w:type="firstCol">
      <w:rPr>
        <w:rFonts w:asciiTheme="majorHAnsi" w:hAnsiTheme="majorHAnsi"/>
        <w:b w:val="0"/>
        <w:sz w:val="21"/>
      </w:rPr>
    </w:tblStylePr>
    <w:tblStylePr w:type="band2Horz">
      <w:tblPr/>
      <w:tcPr>
        <w:shd w:val="clear" w:color="auto" w:fill="F2F2F2" w:themeFill="background1" w:themeFillShade="F2"/>
      </w:tcPr>
    </w:tblStylePr>
  </w:style>
  <w:style w:type="paragraph" w:customStyle="1" w:styleId="Avsndartext">
    <w:name w:val="Avsändartext"/>
    <w:basedOn w:val="Normal"/>
    <w:uiPriority w:val="13"/>
    <w:rsid w:val="0077553A"/>
    <w:pPr>
      <w:spacing w:line="200" w:lineRule="atLeast"/>
    </w:pPr>
    <w:rPr>
      <w:sz w:val="18"/>
    </w:rPr>
  </w:style>
  <w:style w:type="paragraph" w:customStyle="1" w:styleId="Dokumentrubrik">
    <w:name w:val="Dokumentrubrik"/>
    <w:basedOn w:val="Normal"/>
    <w:next w:val="Normal"/>
    <w:uiPriority w:val="5"/>
    <w:qFormat/>
    <w:rsid w:val="00DA3E62"/>
    <w:pPr>
      <w:keepNext/>
      <w:spacing w:after="240" w:line="384" w:lineRule="atLeast"/>
    </w:pPr>
    <w:rPr>
      <w:rFonts w:asciiTheme="majorHAnsi" w:hAnsiTheme="majorHAnsi"/>
      <w:b/>
      <w:sz w:val="32"/>
    </w:rPr>
  </w:style>
  <w:style w:type="paragraph" w:styleId="FootnoteText">
    <w:name w:val="footnote text"/>
    <w:basedOn w:val="Normal"/>
    <w:link w:val="FootnoteTextChar"/>
    <w:uiPriority w:val="99"/>
    <w:semiHidden/>
    <w:unhideWhenUsed/>
    <w:rsid w:val="00CC29C9"/>
    <w:pPr>
      <w:spacing w:after="0"/>
    </w:pPr>
    <w:rPr>
      <w:sz w:val="16"/>
      <w:szCs w:val="20"/>
    </w:rPr>
  </w:style>
  <w:style w:type="character" w:customStyle="1" w:styleId="FootnoteTextChar">
    <w:name w:val="Footnote Text Char"/>
    <w:basedOn w:val="DefaultParagraphFont"/>
    <w:link w:val="FootnoteText"/>
    <w:uiPriority w:val="99"/>
    <w:semiHidden/>
    <w:rsid w:val="00CC29C9"/>
    <w:rPr>
      <w:sz w:val="16"/>
      <w:szCs w:val="20"/>
    </w:rPr>
  </w:style>
  <w:style w:type="paragraph" w:customStyle="1" w:styleId="Styckenr1">
    <w:name w:val="Styckenr 1"/>
    <w:basedOn w:val="Nr-Rubrik1"/>
    <w:uiPriority w:val="1"/>
    <w:qFormat/>
    <w:rsid w:val="00A83531"/>
    <w:pPr>
      <w:keepNext w:val="0"/>
      <w:outlineLvl w:val="9"/>
    </w:pPr>
    <w:rPr>
      <w:rFonts w:asciiTheme="minorHAnsi" w:hAnsiTheme="minorHAnsi"/>
      <w:b w:val="0"/>
    </w:rPr>
  </w:style>
  <w:style w:type="numbering" w:customStyle="1" w:styleId="SetterwallsNumreradlista">
    <w:name w:val="Setterwalls Numreradlista"/>
    <w:uiPriority w:val="99"/>
    <w:rsid w:val="00FC7718"/>
    <w:pPr>
      <w:numPr>
        <w:numId w:val="31"/>
      </w:numPr>
    </w:pPr>
  </w:style>
  <w:style w:type="paragraph" w:customStyle="1" w:styleId="Nr-RubrikTabell">
    <w:name w:val="Nr-Rubrik Tabell"/>
    <w:basedOn w:val="Normal"/>
    <w:uiPriority w:val="2"/>
    <w:qFormat/>
    <w:rsid w:val="007C6EC0"/>
    <w:pPr>
      <w:numPr>
        <w:numId w:val="37"/>
      </w:numPr>
      <w:spacing w:before="40" w:after="20"/>
      <w:outlineLvl w:val="0"/>
    </w:pPr>
    <w:rPr>
      <w:rFonts w:asciiTheme="majorHAnsi" w:hAnsiTheme="majorHAnsi"/>
      <w:b/>
    </w:rPr>
  </w:style>
  <w:style w:type="paragraph" w:customStyle="1" w:styleId="RubrikTabell">
    <w:name w:val="Rubrik Tabell"/>
    <w:basedOn w:val="Normal"/>
    <w:uiPriority w:val="2"/>
    <w:qFormat/>
    <w:rsid w:val="007C6EC0"/>
    <w:pPr>
      <w:spacing w:before="40" w:after="20"/>
    </w:pPr>
    <w:rPr>
      <w:rFonts w:asciiTheme="majorHAnsi" w:hAnsiTheme="majorHAnsi"/>
      <w:b/>
    </w:rPr>
  </w:style>
  <w:style w:type="table" w:customStyle="1" w:styleId="Setterwalls4">
    <w:name w:val="Setterwalls 4"/>
    <w:basedOn w:val="Setterwalls1"/>
    <w:uiPriority w:val="99"/>
    <w:rsid w:val="001424A1"/>
    <w:tblPr>
      <w:tblBorders>
        <w:top w:val="single" w:sz="4" w:space="0" w:color="A59C94" w:themeColor="accent4"/>
        <w:left w:val="single" w:sz="4" w:space="0" w:color="A59C94" w:themeColor="accent4"/>
        <w:bottom w:val="single" w:sz="4" w:space="0" w:color="A59C94" w:themeColor="accent4"/>
        <w:right w:val="single" w:sz="4" w:space="0" w:color="A59C94" w:themeColor="accent4"/>
        <w:insideH w:val="single" w:sz="4" w:space="0" w:color="A59C94" w:themeColor="accent4"/>
        <w:insideV w:val="single" w:sz="4" w:space="0" w:color="A59C94" w:themeColor="accent4"/>
      </w:tblBorders>
    </w:tblPr>
    <w:tblStylePr w:type="firstRow">
      <w:rPr>
        <w:rFonts w:asciiTheme="majorHAnsi" w:hAnsiTheme="majorHAnsi"/>
        <w:b w:val="0"/>
        <w:color w:val="FFFFFF" w:themeColor="background1"/>
        <w:sz w:val="21"/>
      </w:rPr>
      <w:tblPr/>
      <w:tcPr>
        <w:tcBorders>
          <w:top w:val="single" w:sz="4" w:space="0" w:color="A59C94" w:themeColor="accent4"/>
          <w:left w:val="single" w:sz="4" w:space="0" w:color="A59C94" w:themeColor="accent4"/>
          <w:bottom w:val="single" w:sz="4" w:space="0" w:color="A59C94" w:themeColor="accent4"/>
          <w:right w:val="single" w:sz="4" w:space="0" w:color="A59C94" w:themeColor="accent4"/>
          <w:insideH w:val="single" w:sz="4" w:space="0" w:color="A59C94" w:themeColor="accent4"/>
          <w:insideV w:val="single" w:sz="4" w:space="0" w:color="A59C94" w:themeColor="accent4"/>
        </w:tcBorders>
        <w:shd w:val="clear" w:color="auto" w:fill="44546A" w:themeFill="text2"/>
      </w:tcPr>
    </w:tblStylePr>
    <w:tblStylePr w:type="lastRow">
      <w:tblPr/>
      <w:tcPr>
        <w:tcBorders>
          <w:top w:val="single" w:sz="4" w:space="0" w:color="A59C94" w:themeColor="accent4"/>
          <w:left w:val="single" w:sz="4" w:space="0" w:color="A59C94" w:themeColor="accent4"/>
          <w:bottom w:val="single" w:sz="4" w:space="0" w:color="A59C94" w:themeColor="accent4"/>
          <w:right w:val="single" w:sz="4" w:space="0" w:color="A59C94" w:themeColor="accent4"/>
          <w:insideH w:val="single" w:sz="4" w:space="0" w:color="A59C94" w:themeColor="accent4"/>
          <w:insideV w:val="single" w:sz="4" w:space="0" w:color="A59C94" w:themeColor="accent4"/>
        </w:tcBorders>
      </w:tcPr>
    </w:tblStylePr>
    <w:tblStylePr w:type="firstCol">
      <w:rPr>
        <w:rFonts w:asciiTheme="minorHAnsi" w:hAnsiTheme="minorHAnsi"/>
        <w:b w:val="0"/>
        <w:sz w:val="21"/>
      </w:rPr>
      <w:tblPr/>
      <w:tcPr>
        <w:tcBorders>
          <w:top w:val="single" w:sz="4" w:space="0" w:color="A59C94" w:themeColor="accent4"/>
          <w:left w:val="single" w:sz="4" w:space="0" w:color="A59C94" w:themeColor="accent4"/>
          <w:bottom w:val="single" w:sz="4" w:space="0" w:color="A59C94" w:themeColor="accent4"/>
          <w:right w:val="single" w:sz="4" w:space="0" w:color="A59C94" w:themeColor="accent4"/>
          <w:insideH w:val="single" w:sz="4" w:space="0" w:color="A59C94" w:themeColor="accent4"/>
          <w:insideV w:val="single" w:sz="4" w:space="0" w:color="A59C94" w:themeColor="accent4"/>
        </w:tcBorders>
      </w:tcPr>
    </w:tblStylePr>
    <w:tblStylePr w:type="band1Horz">
      <w:tblPr/>
      <w:tcPr>
        <w:shd w:val="clear" w:color="auto" w:fill="FFFFFF" w:themeFill="background1"/>
      </w:tcPr>
    </w:tblStylePr>
  </w:style>
  <w:style w:type="numbering" w:customStyle="1" w:styleId="SetterwallsTabellnumrering">
    <w:name w:val="Setterwalls Tabellnumrering"/>
    <w:uiPriority w:val="99"/>
    <w:rsid w:val="007C6EC0"/>
    <w:pPr>
      <w:numPr>
        <w:numId w:val="33"/>
      </w:numPr>
    </w:pPr>
  </w:style>
  <w:style w:type="paragraph" w:customStyle="1" w:styleId="Styckenr11Tabell">
    <w:name w:val="Styckenr 1.1 Tabell"/>
    <w:basedOn w:val="NormalIndent"/>
    <w:uiPriority w:val="2"/>
    <w:qFormat/>
    <w:rsid w:val="007C6EC0"/>
    <w:pPr>
      <w:numPr>
        <w:ilvl w:val="1"/>
        <w:numId w:val="37"/>
      </w:numPr>
      <w:spacing w:before="40" w:after="20"/>
    </w:pPr>
  </w:style>
  <w:style w:type="paragraph" w:styleId="BodyText">
    <w:name w:val="Body Text"/>
    <w:aliases w:val="Body,by,b"/>
    <w:basedOn w:val="Normal"/>
    <w:link w:val="BodyTextChar"/>
    <w:rsid w:val="003D65F3"/>
    <w:rPr>
      <w:szCs w:val="20"/>
      <w:lang w:eastAsia="en-US"/>
    </w:rPr>
  </w:style>
  <w:style w:type="character" w:customStyle="1" w:styleId="BodyTextChar">
    <w:name w:val="Body Text Char"/>
    <w:aliases w:val="Body Char,by Char,b Char"/>
    <w:basedOn w:val="DefaultParagraphFont"/>
    <w:link w:val="BodyText"/>
    <w:rsid w:val="003D65F3"/>
    <w:rPr>
      <w:rFonts w:ascii="Verdana" w:eastAsia="Times New Roman" w:hAnsi="Verdana" w:cs="Times New Roman"/>
      <w:sz w:val="22"/>
      <w:szCs w:val="20"/>
      <w:lang w:val="en-GB"/>
    </w:rPr>
  </w:style>
  <w:style w:type="paragraph" w:customStyle="1" w:styleId="ListArabic4">
    <w:name w:val="List Arabic 4"/>
    <w:basedOn w:val="Normal"/>
    <w:next w:val="Normal"/>
    <w:rsid w:val="003D65F3"/>
    <w:pPr>
      <w:keepLines w:val="0"/>
      <w:numPr>
        <w:ilvl w:val="3"/>
        <w:numId w:val="38"/>
      </w:numPr>
      <w:tabs>
        <w:tab w:val="left" w:pos="86"/>
      </w:tabs>
      <w:spacing w:before="0" w:after="200" w:line="288" w:lineRule="auto"/>
    </w:pPr>
    <w:rPr>
      <w:rFonts w:ascii="CG Times" w:hAnsi="CG Times"/>
      <w:szCs w:val="20"/>
      <w:lang w:eastAsia="en-US"/>
    </w:rPr>
  </w:style>
  <w:style w:type="paragraph" w:customStyle="1" w:styleId="ListLegal1">
    <w:name w:val="List Legal 1"/>
    <w:basedOn w:val="Normal"/>
    <w:next w:val="BodyText"/>
    <w:rsid w:val="003D65F3"/>
    <w:pPr>
      <w:keepLines w:val="0"/>
      <w:numPr>
        <w:numId w:val="38"/>
      </w:numPr>
      <w:tabs>
        <w:tab w:val="left" w:pos="22"/>
      </w:tabs>
      <w:spacing w:before="0" w:after="200" w:line="288" w:lineRule="auto"/>
    </w:pPr>
    <w:rPr>
      <w:rFonts w:ascii="CG Times" w:hAnsi="CG Times"/>
      <w:szCs w:val="20"/>
      <w:lang w:eastAsia="en-US"/>
    </w:rPr>
  </w:style>
  <w:style w:type="paragraph" w:customStyle="1" w:styleId="ListLegal2">
    <w:name w:val="List Legal 2"/>
    <w:basedOn w:val="Normal"/>
    <w:next w:val="BodyText"/>
    <w:rsid w:val="003D65F3"/>
    <w:pPr>
      <w:keepLines w:val="0"/>
      <w:numPr>
        <w:ilvl w:val="1"/>
        <w:numId w:val="38"/>
      </w:numPr>
      <w:tabs>
        <w:tab w:val="left" w:pos="22"/>
      </w:tabs>
      <w:spacing w:before="0" w:after="200" w:line="288" w:lineRule="auto"/>
    </w:pPr>
    <w:rPr>
      <w:rFonts w:ascii="CG Times" w:hAnsi="CG Times"/>
      <w:szCs w:val="20"/>
      <w:lang w:eastAsia="en-US"/>
    </w:rPr>
  </w:style>
  <w:style w:type="paragraph" w:customStyle="1" w:styleId="ListLegal3">
    <w:name w:val="List Legal 3"/>
    <w:basedOn w:val="Normal"/>
    <w:next w:val="BodyText2"/>
    <w:rsid w:val="003D65F3"/>
    <w:pPr>
      <w:keepLines w:val="0"/>
      <w:numPr>
        <w:ilvl w:val="2"/>
        <w:numId w:val="38"/>
      </w:numPr>
      <w:tabs>
        <w:tab w:val="left" w:pos="50"/>
      </w:tabs>
      <w:spacing w:before="0" w:after="200" w:line="288" w:lineRule="auto"/>
    </w:pPr>
    <w:rPr>
      <w:rFonts w:ascii="CG Times" w:hAnsi="CG Times"/>
      <w:szCs w:val="20"/>
      <w:lang w:eastAsia="en-US"/>
    </w:rPr>
  </w:style>
  <w:style w:type="paragraph" w:customStyle="1" w:styleId="StyleBefore6ptAfter6pt">
    <w:name w:val="Style Before:  6 pt After:  6 pt"/>
    <w:basedOn w:val="Normal"/>
    <w:rsid w:val="003D65F3"/>
    <w:pPr>
      <w:keepLines w:val="0"/>
      <w:ind w:left="340"/>
    </w:pPr>
    <w:rPr>
      <w:szCs w:val="20"/>
      <w:lang w:eastAsia="en-US"/>
    </w:rPr>
  </w:style>
  <w:style w:type="character" w:styleId="CommentReference">
    <w:name w:val="annotation reference"/>
    <w:basedOn w:val="DefaultParagraphFont"/>
    <w:uiPriority w:val="99"/>
    <w:semiHidden/>
    <w:unhideWhenUsed/>
    <w:rsid w:val="003D65F3"/>
    <w:rPr>
      <w:sz w:val="16"/>
      <w:szCs w:val="16"/>
    </w:rPr>
  </w:style>
  <w:style w:type="paragraph" w:styleId="CommentText">
    <w:name w:val="annotation text"/>
    <w:basedOn w:val="Normal"/>
    <w:link w:val="CommentTextChar"/>
    <w:uiPriority w:val="99"/>
    <w:unhideWhenUsed/>
    <w:rsid w:val="003D65F3"/>
    <w:rPr>
      <w:sz w:val="20"/>
      <w:szCs w:val="20"/>
    </w:rPr>
  </w:style>
  <w:style w:type="character" w:customStyle="1" w:styleId="CommentTextChar">
    <w:name w:val="Comment Text Char"/>
    <w:basedOn w:val="DefaultParagraphFont"/>
    <w:link w:val="CommentText"/>
    <w:uiPriority w:val="99"/>
    <w:rsid w:val="003D65F3"/>
    <w:rPr>
      <w:rFonts w:ascii="Verdana" w:eastAsia="Times New Roman" w:hAnsi="Verdana" w:cs="Times New Roman"/>
      <w:sz w:val="20"/>
      <w:szCs w:val="20"/>
      <w:lang w:val="en-GB" w:eastAsia="nl-NL"/>
    </w:rPr>
  </w:style>
  <w:style w:type="paragraph" w:styleId="BodyText2">
    <w:name w:val="Body Text 2"/>
    <w:basedOn w:val="Normal"/>
    <w:link w:val="BodyText2Char"/>
    <w:uiPriority w:val="99"/>
    <w:semiHidden/>
    <w:unhideWhenUsed/>
    <w:rsid w:val="003D65F3"/>
    <w:pPr>
      <w:spacing w:after="120" w:line="480" w:lineRule="auto"/>
    </w:pPr>
  </w:style>
  <w:style w:type="character" w:customStyle="1" w:styleId="BodyText2Char">
    <w:name w:val="Body Text 2 Char"/>
    <w:basedOn w:val="DefaultParagraphFont"/>
    <w:link w:val="BodyText2"/>
    <w:uiPriority w:val="99"/>
    <w:semiHidden/>
    <w:rsid w:val="003D65F3"/>
    <w:rPr>
      <w:rFonts w:ascii="Verdana" w:eastAsia="Times New Roman" w:hAnsi="Verdana" w:cs="Times New Roman"/>
      <w:sz w:val="22"/>
      <w:szCs w:val="24"/>
      <w:lang w:val="en-GB" w:eastAsia="nl-NL"/>
    </w:rPr>
  </w:style>
  <w:style w:type="paragraph" w:styleId="Revision">
    <w:name w:val="Revision"/>
    <w:hidden/>
    <w:uiPriority w:val="99"/>
    <w:semiHidden/>
    <w:rsid w:val="003D65F3"/>
    <w:pPr>
      <w:spacing w:after="0" w:line="240" w:lineRule="auto"/>
    </w:pPr>
    <w:rPr>
      <w:rFonts w:ascii="Verdana" w:eastAsia="Times New Roman" w:hAnsi="Verdana" w:cs="Times New Roman"/>
      <w:sz w:val="22"/>
      <w:szCs w:val="24"/>
      <w:lang w:val="en-GB" w:eastAsia="nl-NL"/>
    </w:rPr>
  </w:style>
  <w:style w:type="paragraph" w:styleId="CommentSubject">
    <w:name w:val="annotation subject"/>
    <w:basedOn w:val="CommentText"/>
    <w:next w:val="CommentText"/>
    <w:link w:val="CommentSubjectChar"/>
    <w:uiPriority w:val="99"/>
    <w:semiHidden/>
    <w:unhideWhenUsed/>
    <w:rsid w:val="00E62C63"/>
    <w:rPr>
      <w:b/>
      <w:bCs/>
    </w:rPr>
  </w:style>
  <w:style w:type="character" w:customStyle="1" w:styleId="CommentSubjectChar">
    <w:name w:val="Comment Subject Char"/>
    <w:basedOn w:val="CommentTextChar"/>
    <w:link w:val="CommentSubject"/>
    <w:uiPriority w:val="99"/>
    <w:semiHidden/>
    <w:rsid w:val="00E62C63"/>
    <w:rPr>
      <w:rFonts w:ascii="Verdana" w:eastAsia="Times New Roman" w:hAnsi="Verdana" w:cs="Times New Roman"/>
      <w:b/>
      <w:bCs/>
      <w:sz w:val="20"/>
      <w:szCs w:val="20"/>
      <w:lang w:val="en-GB" w:eastAsia="nl-NL"/>
    </w:rPr>
  </w:style>
  <w:style w:type="paragraph" w:styleId="NormalWeb">
    <w:name w:val="Normal (Web)"/>
    <w:basedOn w:val="Normal"/>
    <w:uiPriority w:val="99"/>
    <w:semiHidden/>
    <w:unhideWhenUsed/>
    <w:rsid w:val="00AD4D36"/>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tema">
  <a:themeElements>
    <a:clrScheme name="Setterwalls">
      <a:dk1>
        <a:sysClr val="windowText" lastClr="000000"/>
      </a:dk1>
      <a:lt1>
        <a:sysClr val="window" lastClr="FFFFFF"/>
      </a:lt1>
      <a:dk2>
        <a:srgbClr val="44546A"/>
      </a:dk2>
      <a:lt2>
        <a:srgbClr val="E7E6E6"/>
      </a:lt2>
      <a:accent1>
        <a:srgbClr val="041C2C"/>
      </a:accent1>
      <a:accent2>
        <a:srgbClr val="E5164B"/>
      </a:accent2>
      <a:accent3>
        <a:srgbClr val="1B223C"/>
      </a:accent3>
      <a:accent4>
        <a:srgbClr val="A59C94"/>
      </a:accent4>
      <a:accent5>
        <a:srgbClr val="D0D3D4"/>
      </a:accent5>
      <a:accent6>
        <a:srgbClr val="706F6F"/>
      </a:accent6>
      <a:hlink>
        <a:srgbClr val="0563C1"/>
      </a:hlink>
      <a:folHlink>
        <a:srgbClr val="954F72"/>
      </a:folHlink>
    </a:clrScheme>
    <a:fontScheme name="Setterwalls WD">
      <a:majorFont>
        <a:latin typeface="Arial"/>
        <a:ea typeface=""/>
        <a:cs typeface=""/>
      </a:majorFont>
      <a:minorFont>
        <a:latin typeface="Georgi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2effb1f-3351-4000-8a6d-33e226dc5318" xsi:nil="true"/>
    <lcf76f155ced4ddcb4097134ff3c332f xmlns="2ed9aca2-86fd-48e3-9386-5992ab17314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50A6998BBC0224E95A8848DA2218D5A" ma:contentTypeVersion="20" ma:contentTypeDescription="Skapa ett nytt dokument." ma:contentTypeScope="" ma:versionID="2863f59da1667c3ebf4ed11efd93d916">
  <xsd:schema xmlns:xsd="http://www.w3.org/2001/XMLSchema" xmlns:xs="http://www.w3.org/2001/XMLSchema" xmlns:p="http://schemas.microsoft.com/office/2006/metadata/properties" xmlns:ns2="2ed9aca2-86fd-48e3-9386-5992ab17314c" xmlns:ns3="82effb1f-3351-4000-8a6d-33e226dc5318" targetNamespace="http://schemas.microsoft.com/office/2006/metadata/properties" ma:root="true" ma:fieldsID="8fd393fe03c1fce0a900c2ab59a9963b" ns2:_="" ns3:_="">
    <xsd:import namespace="2ed9aca2-86fd-48e3-9386-5992ab17314c"/>
    <xsd:import namespace="82effb1f-3351-4000-8a6d-33e226dc531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d9aca2-86fd-48e3-9386-5992ab1731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fd281f1-3e03-495d-b054-f0b3e357d5d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effb1f-3351-4000-8a6d-33e226dc5318" elementFormDefault="qualified">
    <xsd:import namespace="http://schemas.microsoft.com/office/2006/documentManagement/types"/>
    <xsd:import namespace="http://schemas.microsoft.com/office/infopath/2007/PartnerControls"/>
    <xsd:element name="SharedWithUsers" ma:index="16"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at med information" ma:internalName="SharedWithDetails" ma:readOnly="true">
      <xsd:simpleType>
        <xsd:restriction base="dms:Note">
          <xsd:maxLength value="255"/>
        </xsd:restriction>
      </xsd:simpleType>
    </xsd:element>
    <xsd:element name="TaxCatchAll" ma:index="20" nillable="true" ma:displayName="Taxonomy Catch All Column" ma:hidden="true" ma:list="{5509e1e4-2c50-4a2e-a486-60b3ef4b47df}" ma:internalName="TaxCatchAll" ma:showField="CatchAllData" ma:web="82effb1f-3351-4000-8a6d-33e226dc53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01D818-8FD1-4A86-BB5A-3E220E896784}">
  <ds:schemaRefs>
    <ds:schemaRef ds:uri="http://schemas.microsoft.com/office/2006/metadata/properties"/>
    <ds:schemaRef ds:uri="http://schemas.microsoft.com/office/infopath/2007/PartnerControls"/>
    <ds:schemaRef ds:uri="82effb1f-3351-4000-8a6d-33e226dc5318"/>
    <ds:schemaRef ds:uri="2ed9aca2-86fd-48e3-9386-5992ab17314c"/>
  </ds:schemaRefs>
</ds:datastoreItem>
</file>

<file path=customXml/itemProps2.xml><?xml version="1.0" encoding="utf-8"?>
<ds:datastoreItem xmlns:ds="http://schemas.openxmlformats.org/officeDocument/2006/customXml" ds:itemID="{B53639B6-D5DF-4EA2-86AD-60672F08A5F7}">
  <ds:schemaRefs>
    <ds:schemaRef ds:uri="http://schemas.microsoft.com/sharepoint/v3/contenttype/forms"/>
  </ds:schemaRefs>
</ds:datastoreItem>
</file>

<file path=customXml/itemProps3.xml><?xml version="1.0" encoding="utf-8"?>
<ds:datastoreItem xmlns:ds="http://schemas.openxmlformats.org/officeDocument/2006/customXml" ds:itemID="{A18BAF24-386B-4521-98EC-52F2EDEA0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d9aca2-86fd-48e3-9386-5992ab17314c"/>
    <ds:schemaRef ds:uri="82effb1f-3351-4000-8a6d-33e226dc53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639</Words>
  <Characters>3476</Characters>
  <Application>Microsoft Office Word</Application>
  <DocSecurity>0</DocSecurity>
  <Lines>89</Lines>
  <Paragraphs>52</Paragraphs>
  <ScaleCrop>false</ScaleCrop>
  <Company/>
  <LinksUpToDate>false</LinksUpToDate>
  <CharactersWithSpaces>4063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Åkerman</dc:creator>
  <cp:lastModifiedBy>Camilla Åkerman</cp:lastModifiedBy>
  <cp:revision>2</cp:revision>
  <dcterms:created xsi:type="dcterms:W3CDTF">2026-02-26T14:07:00Z</dcterms:created>
  <dcterms:modified xsi:type="dcterms:W3CDTF">2026-02-26T14:07:00Z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0x010100C50A6998BBC0224E95A8848DA2218D5A</vt:lpwstr>
  </property>
  <property fmtid="{D5CDD505-2E9C-101B-9397-08002B2CF9AE}" pid="3" name="MediaServiceImageTags">
    <vt:lpwstr/>
  </property>
</Properties>
</file>